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97B07" w14:textId="77777777" w:rsidR="00CB4D29" w:rsidRDefault="00CB4D29" w:rsidP="00CB4D29">
      <w:pPr>
        <w:pStyle w:val="Title"/>
      </w:pPr>
      <w:r>
        <w:t>BMEN E4001x: Quantitative Physiology I / Molecular and Cellular Systems</w:t>
      </w:r>
    </w:p>
    <w:p w14:paraId="2CE188F2" w14:textId="77777777" w:rsidR="003315B0" w:rsidRDefault="00CB4D29">
      <w:pPr>
        <w:jc w:val="center"/>
        <w:rPr>
          <w:b/>
        </w:rPr>
      </w:pPr>
      <w:r>
        <w:rPr>
          <w:b/>
        </w:rPr>
        <w:t>Notes 08</w:t>
      </w:r>
      <w:r w:rsidR="00D255B3">
        <w:rPr>
          <w:b/>
        </w:rPr>
        <w:t xml:space="preserve"> -</w:t>
      </w:r>
      <w:r w:rsidR="003315B0">
        <w:rPr>
          <w:b/>
        </w:rPr>
        <w:t xml:space="preserve"> Membrane Potentials</w:t>
      </w:r>
      <w:r w:rsidR="00D255B3">
        <w:rPr>
          <w:b/>
        </w:rPr>
        <w:t xml:space="preserve"> and </w:t>
      </w:r>
      <w:proofErr w:type="spellStart"/>
      <w:r w:rsidR="00D255B3">
        <w:rPr>
          <w:b/>
        </w:rPr>
        <w:t>Electrodiffusion</w:t>
      </w:r>
      <w:proofErr w:type="spellEnd"/>
    </w:p>
    <w:p w14:paraId="634F77BD" w14:textId="77777777" w:rsidR="00FF3BFA" w:rsidRDefault="00FF3BFA">
      <w:pPr>
        <w:jc w:val="center"/>
        <w:rPr>
          <w:b/>
        </w:rPr>
      </w:pPr>
      <w:r>
        <w:rPr>
          <w:b/>
        </w:rPr>
        <w:t>Nelson Chapter</w:t>
      </w:r>
      <w:r w:rsidR="00515948">
        <w:rPr>
          <w:b/>
        </w:rPr>
        <w:t xml:space="preserve"> 7, Boal, K&amp;S Chapter 2, B&amp;B Ch</w:t>
      </w:r>
      <w:r>
        <w:rPr>
          <w:b/>
        </w:rPr>
        <w:t>a</w:t>
      </w:r>
      <w:r w:rsidR="00515948">
        <w:rPr>
          <w:b/>
        </w:rPr>
        <w:t>p</w:t>
      </w:r>
      <w:r>
        <w:rPr>
          <w:b/>
        </w:rPr>
        <w:t xml:space="preserve">ter </w:t>
      </w:r>
      <w:r w:rsidR="00515948">
        <w:rPr>
          <w:b/>
        </w:rPr>
        <w:t>6</w:t>
      </w:r>
    </w:p>
    <w:p w14:paraId="7AB186F7" w14:textId="77777777" w:rsidR="003315B0" w:rsidRDefault="003315B0">
      <w:pPr>
        <w:pStyle w:val="LectureNotesNormal"/>
      </w:pPr>
      <w:r>
        <w:t>Last time, we focused on the role of pore, channel, carrier, and pump proteins in moving compounds with or against a chemical gradient. Many of these compounds are charged ions, so voltages across the membrane will certainly play a part in all of this.  For reference, here are the “standard” ion concentrations inside and outside a typical cell.</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
        <w:gridCol w:w="1930"/>
        <w:gridCol w:w="1800"/>
      </w:tblGrid>
      <w:tr w:rsidR="003315B0" w14:paraId="0C399602" w14:textId="77777777">
        <w:trPr>
          <w:cantSplit/>
        </w:trPr>
        <w:tc>
          <w:tcPr>
            <w:tcW w:w="950" w:type="dxa"/>
          </w:tcPr>
          <w:p w14:paraId="0793B4DC" w14:textId="77777777" w:rsidR="003315B0" w:rsidRDefault="003315B0">
            <w:r>
              <w:t>Ion</w:t>
            </w:r>
          </w:p>
        </w:tc>
        <w:tc>
          <w:tcPr>
            <w:tcW w:w="3730" w:type="dxa"/>
            <w:gridSpan w:val="2"/>
          </w:tcPr>
          <w:p w14:paraId="488E0A9A" w14:textId="77777777" w:rsidR="003315B0" w:rsidRDefault="003315B0">
            <w:pPr>
              <w:pStyle w:val="IndexHeading"/>
            </w:pPr>
            <w:r>
              <w:t>concentration (mM)</w:t>
            </w:r>
          </w:p>
        </w:tc>
      </w:tr>
      <w:tr w:rsidR="003315B0" w14:paraId="1FF2646D" w14:textId="77777777">
        <w:tc>
          <w:tcPr>
            <w:tcW w:w="950" w:type="dxa"/>
          </w:tcPr>
          <w:p w14:paraId="183C78F6" w14:textId="77777777" w:rsidR="003315B0" w:rsidRDefault="003315B0"/>
        </w:tc>
        <w:tc>
          <w:tcPr>
            <w:tcW w:w="1930" w:type="dxa"/>
          </w:tcPr>
          <w:p w14:paraId="62F92B9D" w14:textId="77777777" w:rsidR="003315B0" w:rsidRDefault="003315B0">
            <w:r>
              <w:t>interstitial space</w:t>
            </w:r>
          </w:p>
        </w:tc>
        <w:tc>
          <w:tcPr>
            <w:tcW w:w="1800" w:type="dxa"/>
          </w:tcPr>
          <w:p w14:paraId="0C0B135C" w14:textId="77777777" w:rsidR="003315B0" w:rsidRDefault="003315B0">
            <w:r>
              <w:t>cell (“typical”)</w:t>
            </w:r>
          </w:p>
        </w:tc>
      </w:tr>
      <w:tr w:rsidR="003315B0" w14:paraId="698F4B0D" w14:textId="77777777">
        <w:tc>
          <w:tcPr>
            <w:tcW w:w="950" w:type="dxa"/>
          </w:tcPr>
          <w:p w14:paraId="31035F53" w14:textId="77777777" w:rsidR="003315B0" w:rsidRDefault="003315B0">
            <w:pPr>
              <w:rPr>
                <w:vertAlign w:val="superscript"/>
              </w:rPr>
            </w:pPr>
            <w:r>
              <w:t>Na</w:t>
            </w:r>
            <w:r>
              <w:rPr>
                <w:vertAlign w:val="superscript"/>
              </w:rPr>
              <w:t>+</w:t>
            </w:r>
          </w:p>
        </w:tc>
        <w:tc>
          <w:tcPr>
            <w:tcW w:w="1930" w:type="dxa"/>
          </w:tcPr>
          <w:p w14:paraId="696CAFB1" w14:textId="77777777" w:rsidR="003315B0" w:rsidRDefault="003315B0">
            <w:pPr>
              <w:jc w:val="center"/>
            </w:pPr>
            <w:r>
              <w:t>145</w:t>
            </w:r>
          </w:p>
        </w:tc>
        <w:tc>
          <w:tcPr>
            <w:tcW w:w="1800" w:type="dxa"/>
          </w:tcPr>
          <w:p w14:paraId="099D1084" w14:textId="77777777" w:rsidR="003315B0" w:rsidRDefault="003315B0">
            <w:pPr>
              <w:jc w:val="center"/>
            </w:pPr>
            <w:r>
              <w:t>15</w:t>
            </w:r>
          </w:p>
        </w:tc>
      </w:tr>
      <w:tr w:rsidR="003315B0" w14:paraId="4945F0A8" w14:textId="77777777">
        <w:tc>
          <w:tcPr>
            <w:tcW w:w="950" w:type="dxa"/>
          </w:tcPr>
          <w:p w14:paraId="393F2D48" w14:textId="77777777" w:rsidR="003315B0" w:rsidRDefault="003315B0">
            <w:pPr>
              <w:rPr>
                <w:vertAlign w:val="superscript"/>
              </w:rPr>
            </w:pPr>
            <w:r>
              <w:t>K</w:t>
            </w:r>
            <w:r>
              <w:rPr>
                <w:vertAlign w:val="superscript"/>
              </w:rPr>
              <w:t>+</w:t>
            </w:r>
          </w:p>
        </w:tc>
        <w:tc>
          <w:tcPr>
            <w:tcW w:w="1930" w:type="dxa"/>
          </w:tcPr>
          <w:p w14:paraId="47B8EACA" w14:textId="77777777" w:rsidR="003315B0" w:rsidRDefault="003315B0">
            <w:pPr>
              <w:jc w:val="center"/>
            </w:pPr>
            <w:r>
              <w:t>4.5</w:t>
            </w:r>
          </w:p>
        </w:tc>
        <w:tc>
          <w:tcPr>
            <w:tcW w:w="1800" w:type="dxa"/>
          </w:tcPr>
          <w:p w14:paraId="1C1413BD" w14:textId="77777777" w:rsidR="003315B0" w:rsidRDefault="003315B0">
            <w:pPr>
              <w:jc w:val="center"/>
            </w:pPr>
            <w:r>
              <w:t>120</w:t>
            </w:r>
          </w:p>
        </w:tc>
      </w:tr>
      <w:tr w:rsidR="003315B0" w14:paraId="4A3B879D" w14:textId="77777777">
        <w:tc>
          <w:tcPr>
            <w:tcW w:w="950" w:type="dxa"/>
          </w:tcPr>
          <w:p w14:paraId="1B2E4350" w14:textId="77777777" w:rsidR="003315B0" w:rsidRDefault="003315B0">
            <w:pPr>
              <w:rPr>
                <w:vertAlign w:val="superscript"/>
              </w:rPr>
            </w:pPr>
            <w:r>
              <w:t>Ca</w:t>
            </w:r>
            <w:r>
              <w:rPr>
                <w:vertAlign w:val="superscript"/>
              </w:rPr>
              <w:t>2+</w:t>
            </w:r>
          </w:p>
        </w:tc>
        <w:tc>
          <w:tcPr>
            <w:tcW w:w="1930" w:type="dxa"/>
          </w:tcPr>
          <w:p w14:paraId="58D90537" w14:textId="77777777" w:rsidR="003315B0" w:rsidRDefault="003315B0">
            <w:pPr>
              <w:jc w:val="center"/>
            </w:pPr>
            <w:r>
              <w:t>1.2</w:t>
            </w:r>
          </w:p>
        </w:tc>
        <w:tc>
          <w:tcPr>
            <w:tcW w:w="1800" w:type="dxa"/>
          </w:tcPr>
          <w:p w14:paraId="18A9EED1" w14:textId="77777777" w:rsidR="003315B0" w:rsidRDefault="003315B0">
            <w:pPr>
              <w:jc w:val="center"/>
              <w:rPr>
                <w:vertAlign w:val="superscript"/>
              </w:rPr>
            </w:pPr>
            <w:r>
              <w:t>1 x 10</w:t>
            </w:r>
            <w:r>
              <w:rPr>
                <w:vertAlign w:val="superscript"/>
              </w:rPr>
              <w:t>-7</w:t>
            </w:r>
          </w:p>
        </w:tc>
      </w:tr>
      <w:tr w:rsidR="003315B0" w14:paraId="2A539FF0" w14:textId="77777777">
        <w:tc>
          <w:tcPr>
            <w:tcW w:w="950" w:type="dxa"/>
          </w:tcPr>
          <w:p w14:paraId="68CE7B02" w14:textId="77777777" w:rsidR="003315B0" w:rsidRDefault="003315B0">
            <w:pPr>
              <w:rPr>
                <w:vertAlign w:val="superscript"/>
              </w:rPr>
            </w:pPr>
            <w:r>
              <w:t>Mg</w:t>
            </w:r>
            <w:r>
              <w:rPr>
                <w:vertAlign w:val="superscript"/>
              </w:rPr>
              <w:t>2+</w:t>
            </w:r>
          </w:p>
        </w:tc>
        <w:tc>
          <w:tcPr>
            <w:tcW w:w="1930" w:type="dxa"/>
          </w:tcPr>
          <w:p w14:paraId="5451E7EC" w14:textId="77777777" w:rsidR="003315B0" w:rsidRDefault="003315B0">
            <w:pPr>
              <w:jc w:val="center"/>
            </w:pPr>
            <w:r>
              <w:t>.55</w:t>
            </w:r>
          </w:p>
        </w:tc>
        <w:tc>
          <w:tcPr>
            <w:tcW w:w="1800" w:type="dxa"/>
          </w:tcPr>
          <w:p w14:paraId="653B2DA9" w14:textId="77777777" w:rsidR="003315B0" w:rsidRDefault="003315B0">
            <w:pPr>
              <w:jc w:val="center"/>
            </w:pPr>
            <w:r>
              <w:t>1</w:t>
            </w:r>
          </w:p>
        </w:tc>
      </w:tr>
      <w:tr w:rsidR="003315B0" w14:paraId="30879940" w14:textId="77777777">
        <w:tc>
          <w:tcPr>
            <w:tcW w:w="950" w:type="dxa"/>
          </w:tcPr>
          <w:p w14:paraId="652B711C" w14:textId="77777777" w:rsidR="003315B0" w:rsidRDefault="003315B0">
            <w:pPr>
              <w:rPr>
                <w:vertAlign w:val="superscript"/>
              </w:rPr>
            </w:pPr>
            <w:r>
              <w:t>Cl</w:t>
            </w:r>
            <w:r>
              <w:rPr>
                <w:vertAlign w:val="superscript"/>
              </w:rPr>
              <w:t>-</w:t>
            </w:r>
          </w:p>
        </w:tc>
        <w:tc>
          <w:tcPr>
            <w:tcW w:w="1930" w:type="dxa"/>
          </w:tcPr>
          <w:p w14:paraId="4E9F1E7B" w14:textId="77777777" w:rsidR="003315B0" w:rsidRDefault="003315B0">
            <w:pPr>
              <w:jc w:val="center"/>
            </w:pPr>
            <w:r>
              <w:t>116</w:t>
            </w:r>
          </w:p>
        </w:tc>
        <w:tc>
          <w:tcPr>
            <w:tcW w:w="1800" w:type="dxa"/>
          </w:tcPr>
          <w:p w14:paraId="49613052" w14:textId="77777777" w:rsidR="003315B0" w:rsidRDefault="003315B0">
            <w:pPr>
              <w:jc w:val="center"/>
            </w:pPr>
            <w:r>
              <w:t>20</w:t>
            </w:r>
          </w:p>
        </w:tc>
      </w:tr>
      <w:tr w:rsidR="003315B0" w14:paraId="1928B4D1" w14:textId="77777777">
        <w:tc>
          <w:tcPr>
            <w:tcW w:w="950" w:type="dxa"/>
          </w:tcPr>
          <w:p w14:paraId="5D0EEF76" w14:textId="77777777" w:rsidR="003315B0" w:rsidRDefault="003315B0">
            <w:pPr>
              <w:rPr>
                <w:vertAlign w:val="superscript"/>
              </w:rPr>
            </w:pPr>
            <w:r>
              <w:t>HCO</w:t>
            </w:r>
            <w:r>
              <w:rPr>
                <w:vertAlign w:val="subscript"/>
              </w:rPr>
              <w:t>3</w:t>
            </w:r>
            <w:r>
              <w:rPr>
                <w:vertAlign w:val="superscript"/>
              </w:rPr>
              <w:t>-</w:t>
            </w:r>
          </w:p>
        </w:tc>
        <w:tc>
          <w:tcPr>
            <w:tcW w:w="1930" w:type="dxa"/>
          </w:tcPr>
          <w:p w14:paraId="21055916" w14:textId="77777777" w:rsidR="003315B0" w:rsidRDefault="003315B0">
            <w:pPr>
              <w:jc w:val="center"/>
            </w:pPr>
            <w:r>
              <w:t>25</w:t>
            </w:r>
          </w:p>
        </w:tc>
        <w:tc>
          <w:tcPr>
            <w:tcW w:w="1800" w:type="dxa"/>
          </w:tcPr>
          <w:p w14:paraId="653764F3" w14:textId="77777777" w:rsidR="003315B0" w:rsidRDefault="003315B0">
            <w:pPr>
              <w:jc w:val="center"/>
            </w:pPr>
            <w:r>
              <w:t>15</w:t>
            </w:r>
          </w:p>
        </w:tc>
      </w:tr>
      <w:tr w:rsidR="003315B0" w14:paraId="4D0EC784" w14:textId="77777777">
        <w:tc>
          <w:tcPr>
            <w:tcW w:w="950" w:type="dxa"/>
          </w:tcPr>
          <w:p w14:paraId="49AD770A" w14:textId="77777777" w:rsidR="003315B0" w:rsidRDefault="003315B0">
            <w:r>
              <w:t>glucose</w:t>
            </w:r>
          </w:p>
        </w:tc>
        <w:tc>
          <w:tcPr>
            <w:tcW w:w="1930" w:type="dxa"/>
          </w:tcPr>
          <w:p w14:paraId="1EBC8E8E" w14:textId="77777777" w:rsidR="003315B0" w:rsidRDefault="003315B0">
            <w:pPr>
              <w:jc w:val="center"/>
            </w:pPr>
            <w:r>
              <w:t>5.9</w:t>
            </w:r>
          </w:p>
        </w:tc>
        <w:tc>
          <w:tcPr>
            <w:tcW w:w="1800" w:type="dxa"/>
          </w:tcPr>
          <w:p w14:paraId="42B5A1D9" w14:textId="77777777" w:rsidR="003315B0" w:rsidRDefault="003315B0">
            <w:pPr>
              <w:jc w:val="center"/>
            </w:pPr>
            <w:r>
              <w:t>low</w:t>
            </w:r>
          </w:p>
        </w:tc>
      </w:tr>
    </w:tbl>
    <w:p w14:paraId="4B08E9F2" w14:textId="77777777" w:rsidR="003315B0" w:rsidRDefault="003315B0">
      <w:pPr>
        <w:pStyle w:val="LectureNotesNormal"/>
      </w:pPr>
      <w:r>
        <w:t xml:space="preserve">At some point, you encountered the concept of transmembrane voltage; we’re going to look into this </w:t>
      </w:r>
      <w:proofErr w:type="gramStart"/>
      <w:r>
        <w:t>closer, and</w:t>
      </w:r>
      <w:proofErr w:type="gramEnd"/>
      <w:r>
        <w:t xml:space="preserve"> explore some of the complexities.</w:t>
      </w:r>
    </w:p>
    <w:p w14:paraId="3003BE55" w14:textId="77777777" w:rsidR="003315B0" w:rsidRDefault="003315B0">
      <w:pPr>
        <w:pStyle w:val="LectureNotesNormal"/>
      </w:pPr>
      <w:proofErr w:type="gramStart"/>
      <w:r>
        <w:t>First of all</w:t>
      </w:r>
      <w:proofErr w:type="gramEnd"/>
      <w:r>
        <w:t>, how do you measure it, where is it found?</w:t>
      </w:r>
    </w:p>
    <w:p w14:paraId="1AA99F6B" w14:textId="77777777" w:rsidR="003315B0" w:rsidRDefault="003315B0">
      <w:pPr>
        <w:pStyle w:val="LectureNotesNormal"/>
      </w:pPr>
      <w:r>
        <w:t>Certainly, the central nervous system and neuron activity is a big instance of where these voltages come from. B&amp;B, Chapter 6, goes over two main methods of measuring these:</w:t>
      </w:r>
    </w:p>
    <w:p w14:paraId="78558BDB" w14:textId="77777777" w:rsidR="003315B0" w:rsidRDefault="002D5362">
      <w:pPr>
        <w:pStyle w:val="LectureNotesNormal"/>
        <w:ind w:left="0" w:firstLine="0"/>
      </w:pPr>
      <w:r>
        <w:rPr>
          <w:noProof/>
        </w:rPr>
        <w:drawing>
          <wp:inline distT="0" distB="0" distL="0" distR="0" wp14:anchorId="0C7A83FD" wp14:editId="53263F2D">
            <wp:extent cx="5474335" cy="2072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74335" cy="2072640"/>
                    </a:xfrm>
                    <a:prstGeom prst="rect">
                      <a:avLst/>
                    </a:prstGeom>
                    <a:noFill/>
                    <a:ln>
                      <a:noFill/>
                    </a:ln>
                  </pic:spPr>
                </pic:pic>
              </a:graphicData>
            </a:graphic>
          </wp:inline>
        </w:drawing>
      </w:r>
    </w:p>
    <w:p w14:paraId="04E35569" w14:textId="77777777" w:rsidR="003315B0" w:rsidRDefault="003315B0">
      <w:pPr>
        <w:pStyle w:val="LectureNotesNormal"/>
        <w:ind w:left="0" w:firstLine="0"/>
      </w:pPr>
      <w:r>
        <w:t>We’ll start here looking at where resting potentials come from, the foundation for more complex behaviors, and explore some of the spatial aspects of this system.</w:t>
      </w:r>
    </w:p>
    <w:p w14:paraId="20505292" w14:textId="77777777" w:rsidR="003315B0" w:rsidRDefault="002D5362">
      <w:pPr>
        <w:pStyle w:val="LectureNotesNormal"/>
      </w:pPr>
      <w:r>
        <w:rPr>
          <w:noProof/>
        </w:rPr>
        <w:lastRenderedPageBreak/>
        <w:drawing>
          <wp:inline distT="0" distB="0" distL="0" distR="0" wp14:anchorId="7D527903" wp14:editId="5FF955DC">
            <wp:extent cx="2865120" cy="16459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65120" cy="1645920"/>
                    </a:xfrm>
                    <a:prstGeom prst="rect">
                      <a:avLst/>
                    </a:prstGeom>
                    <a:noFill/>
                    <a:ln>
                      <a:noFill/>
                    </a:ln>
                  </pic:spPr>
                </pic:pic>
              </a:graphicData>
            </a:graphic>
          </wp:inline>
        </w:drawing>
      </w:r>
      <w:r>
        <w:rPr>
          <w:noProof/>
        </w:rPr>
        <w:drawing>
          <wp:inline distT="0" distB="0" distL="0" distR="0" wp14:anchorId="7B5FB6CE" wp14:editId="21F4ED88">
            <wp:extent cx="2548255" cy="345059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8255" cy="3450590"/>
                    </a:xfrm>
                    <a:prstGeom prst="rect">
                      <a:avLst/>
                    </a:prstGeom>
                    <a:noFill/>
                    <a:ln>
                      <a:noFill/>
                    </a:ln>
                  </pic:spPr>
                </pic:pic>
              </a:graphicData>
            </a:graphic>
          </wp:inline>
        </w:drawing>
      </w:r>
    </w:p>
    <w:p w14:paraId="447C7212" w14:textId="77777777" w:rsidR="003315B0" w:rsidRDefault="003315B0">
      <w:pPr>
        <w:pStyle w:val="LectureNotesNormal"/>
      </w:pPr>
      <w:r>
        <w:t xml:space="preserve">Start with </w:t>
      </w:r>
      <w:proofErr w:type="spellStart"/>
      <w:r>
        <w:t>KCl</w:t>
      </w:r>
      <w:proofErr w:type="spellEnd"/>
      <w:r>
        <w:t xml:space="preserve"> inside, no </w:t>
      </w:r>
      <w:proofErr w:type="spellStart"/>
      <w:r>
        <w:t>KCl</w:t>
      </w:r>
      <w:proofErr w:type="spellEnd"/>
      <w:r>
        <w:t xml:space="preserve"> outside, 0 volts across the membrane.</w:t>
      </w:r>
    </w:p>
    <w:p w14:paraId="7530FDDE" w14:textId="77777777" w:rsidR="003315B0" w:rsidRDefault="003315B0">
      <w:pPr>
        <w:pStyle w:val="LectureNotesNormal"/>
      </w:pPr>
      <w:r>
        <w:t xml:space="preserve">Note that voltage is read with respect to outside. </w:t>
      </w:r>
    </w:p>
    <w:p w14:paraId="73882BFA" w14:textId="77777777" w:rsidR="003315B0" w:rsidRDefault="003315B0">
      <w:pPr>
        <w:pStyle w:val="LectureNotesNormal"/>
      </w:pPr>
      <w:r>
        <w:t>Membrane permeant to K, but not Cl; channels in action here.</w:t>
      </w:r>
    </w:p>
    <w:p w14:paraId="4A0BF940" w14:textId="77777777" w:rsidR="003315B0" w:rsidRDefault="003315B0">
      <w:pPr>
        <w:pStyle w:val="LectureNotesNormal"/>
      </w:pPr>
      <w:r>
        <w:t xml:space="preserve">Flow of K through the membrane carries positive charge outward, leaving the inside of the cell negative. Now, from the point of view of ions either inside or outside the cell, they see a barrier carrying a slight charge; from the outside, the cell is slightly negative, while from the inside, the barrier is slightly positive. As a result, there is a slight accumulation of K on the outside of the cell, and depletion inside the cell, opposite for Cl. </w:t>
      </w:r>
    </w:p>
    <w:p w14:paraId="4865E796" w14:textId="77777777" w:rsidR="00A14FEF" w:rsidRPr="00A14FEF" w:rsidRDefault="00B93894">
      <w:pPr>
        <w:pStyle w:val="LectureNotesNormal"/>
      </w:pPr>
      <w:r>
        <w:t>Note:</w:t>
      </w:r>
      <w:r w:rsidR="00A14FEF">
        <w:t xml:space="preserve"> there isn’t a bulk unbalance of charges in solution; charge unbalance can be tolerated at small scales (thanks to thermal kicks</w:t>
      </w:r>
      <w:proofErr w:type="gramStart"/>
      <w:r w:rsidR="00A14FEF">
        <w:t>), but</w:t>
      </w:r>
      <w:proofErr w:type="gramEnd"/>
      <w:r w:rsidR="00A14FEF">
        <w:t xml:space="preserve"> cannot exist at bulk scales.  For example, no solution of Cl</w:t>
      </w:r>
      <w:r w:rsidR="00A14FEF">
        <w:rPr>
          <w:vertAlign w:val="superscript"/>
        </w:rPr>
        <w:t>-</w:t>
      </w:r>
      <w:r w:rsidR="00A14FEF">
        <w:t xml:space="preserve"> without counterions.</w:t>
      </w:r>
    </w:p>
    <w:p w14:paraId="08724F72" w14:textId="77777777" w:rsidR="003315B0" w:rsidRDefault="00A14FEF">
      <w:pPr>
        <w:pStyle w:val="Heading1"/>
      </w:pPr>
      <w:r>
        <w:t>How “thick” is this charged layer?</w:t>
      </w:r>
    </w:p>
    <w:p w14:paraId="245E75BF" w14:textId="77777777" w:rsidR="003315B0" w:rsidRDefault="003315B0">
      <w:pPr>
        <w:pStyle w:val="Heading2"/>
      </w:pPr>
      <w:r>
        <w:t>Charged plate in a solution with counterions:</w:t>
      </w:r>
    </w:p>
    <w:p w14:paraId="56D7F61B" w14:textId="77777777" w:rsidR="003315B0" w:rsidRDefault="003315B0">
      <w:r>
        <w:t>Assume surface charge of -</w:t>
      </w:r>
      <w:r>
        <w:sym w:font="Symbol" w:char="F073"/>
      </w:r>
      <w:r>
        <w:rPr>
          <w:vertAlign w:val="subscript"/>
        </w:rPr>
        <w:t>s</w:t>
      </w:r>
      <w:r>
        <w:t xml:space="preserve">. Mean-field theory, in which we can reduce this to 1D. </w:t>
      </w:r>
    </w:p>
    <w:p w14:paraId="36093BDB" w14:textId="77777777" w:rsidR="003315B0" w:rsidRDefault="003315B0">
      <w:pPr>
        <w:pStyle w:val="Heading3"/>
      </w:pPr>
      <w:r>
        <w:t>Poisson-Boltzmann equation:</w:t>
      </w:r>
    </w:p>
    <w:p w14:paraId="1B4A166E" w14:textId="77777777" w:rsidR="003315B0" w:rsidRDefault="003315B0">
      <w:r>
        <w:t>Gauss law</w:t>
      </w:r>
    </w:p>
    <w:p w14:paraId="044B3396" w14:textId="77777777" w:rsidR="003315B0" w:rsidRDefault="003315B0">
      <w:pPr>
        <w:pStyle w:val="Equations"/>
      </w:pPr>
      <w:r>
        <w:rPr>
          <w:position w:val="-24"/>
        </w:rPr>
        <w:object w:dxaOrig="2140" w:dyaOrig="620" w14:anchorId="4C4935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8pt;height:30.6pt" o:ole="">
            <v:imagedata r:id="rId8" o:title=""/>
          </v:shape>
          <o:OLEObject Type="Embed" ProgID="Equation.3" ShapeID="_x0000_i1025" DrawAspect="Content" ObjectID="_1731747788" r:id="rId9"/>
        </w:object>
      </w:r>
    </w:p>
    <w:p w14:paraId="5406A8C1" w14:textId="77777777" w:rsidR="003315B0" w:rsidRDefault="003315B0">
      <w:pPr>
        <w:pStyle w:val="Equations"/>
      </w:pPr>
      <w:r>
        <w:sym w:font="Symbol" w:char="F065"/>
      </w:r>
      <w:r>
        <w:t xml:space="preserve"> = permittivity of medium; </w:t>
      </w:r>
      <w:r>
        <w:sym w:font="Symbol" w:char="F065"/>
      </w:r>
      <w:r>
        <w:softHyphen/>
      </w:r>
      <w:r>
        <w:rPr>
          <w:vertAlign w:val="subscript"/>
        </w:rPr>
        <w:t>0</w:t>
      </w:r>
      <w:r>
        <w:t xml:space="preserve"> = vacuum = 8.85 X 10</w:t>
      </w:r>
      <w:r>
        <w:rPr>
          <w:vertAlign w:val="superscript"/>
        </w:rPr>
        <w:t>-12</w:t>
      </w:r>
      <w:r>
        <w:t xml:space="preserve"> C</w:t>
      </w:r>
      <w:r>
        <w:rPr>
          <w:vertAlign w:val="superscript"/>
        </w:rPr>
        <w:t>2</w:t>
      </w:r>
      <w:r>
        <w:t>/(N*m</w:t>
      </w:r>
      <w:r>
        <w:rPr>
          <w:vertAlign w:val="superscript"/>
        </w:rPr>
        <w:t>2</w:t>
      </w:r>
      <w:r>
        <w:t>)</w:t>
      </w:r>
    </w:p>
    <w:p w14:paraId="1E84D4D9" w14:textId="77777777" w:rsidR="003315B0" w:rsidRDefault="003315B0">
      <w:pPr>
        <w:pStyle w:val="Equations"/>
      </w:pPr>
      <w:r>
        <w:sym w:font="Symbol" w:char="F072"/>
      </w:r>
      <w:r>
        <w:t xml:space="preserve"> = density of charge</w:t>
      </w:r>
    </w:p>
    <w:p w14:paraId="68E64F6A" w14:textId="77777777" w:rsidR="003315B0" w:rsidRDefault="003315B0">
      <w:pPr>
        <w:pStyle w:val="Equations"/>
      </w:pPr>
      <w:r>
        <w:t>In differential form,</w:t>
      </w:r>
    </w:p>
    <w:p w14:paraId="66817364" w14:textId="77777777" w:rsidR="003315B0" w:rsidRDefault="003315B0">
      <w:pPr>
        <w:pStyle w:val="Equations"/>
      </w:pPr>
      <w:r>
        <w:rPr>
          <w:position w:val="-24"/>
        </w:rPr>
        <w:object w:dxaOrig="1140" w:dyaOrig="620" w14:anchorId="2F85FC5C">
          <v:shape id="_x0000_i1026" type="#_x0000_t75" style="width:56.4pt;height:30.6pt" o:ole="">
            <v:imagedata r:id="rId10" o:title=""/>
          </v:shape>
          <o:OLEObject Type="Embed" ProgID="Equation.3" ShapeID="_x0000_i1026" DrawAspect="Content" ObjectID="_1731747789" r:id="rId11"/>
        </w:object>
      </w:r>
    </w:p>
    <w:p w14:paraId="0F34B406" w14:textId="77777777" w:rsidR="003315B0" w:rsidRDefault="00B93894">
      <w:pPr>
        <w:pStyle w:val="Equations"/>
      </w:pPr>
      <w:r>
        <w:t>And taking in one dimens</w:t>
      </w:r>
      <w:r w:rsidR="003315B0">
        <w:t>ion, to get the final form</w:t>
      </w:r>
    </w:p>
    <w:p w14:paraId="73EB04D8" w14:textId="77777777" w:rsidR="003315B0" w:rsidRDefault="003315B0">
      <w:pPr>
        <w:pStyle w:val="Equations"/>
      </w:pPr>
      <w:r>
        <w:rPr>
          <w:position w:val="-64"/>
        </w:rPr>
        <w:object w:dxaOrig="1719" w:dyaOrig="1400" w14:anchorId="422F22D3">
          <v:shape id="_x0000_i1027" type="#_x0000_t75" style="width:86.4pt;height:70.2pt" o:ole="">
            <v:imagedata r:id="rId12" o:title=""/>
          </v:shape>
          <o:OLEObject Type="Embed" ProgID="Equation.3" ShapeID="_x0000_i1027" DrawAspect="Content" ObjectID="_1731747790" r:id="rId13"/>
        </w:object>
      </w:r>
    </w:p>
    <w:p w14:paraId="1A25DB4A" w14:textId="77777777" w:rsidR="003315B0" w:rsidRDefault="003315B0">
      <w:pPr>
        <w:pStyle w:val="Equations"/>
      </w:pPr>
      <w:r>
        <w:t xml:space="preserve">This is the Poisson equation, relating electric </w:t>
      </w:r>
      <w:r w:rsidR="0070666E">
        <w:t>potential to charge distribution</w:t>
      </w:r>
    </w:p>
    <w:p w14:paraId="395A736F" w14:textId="77777777" w:rsidR="003315B0" w:rsidRDefault="003315B0">
      <w:pPr>
        <w:pStyle w:val="Equations"/>
      </w:pPr>
    </w:p>
    <w:p w14:paraId="5E0B4316" w14:textId="77777777" w:rsidR="003315B0" w:rsidRDefault="003315B0">
      <w:pPr>
        <w:pStyle w:val="LectureNotesNormal"/>
        <w:ind w:left="0" w:firstLine="0"/>
      </w:pPr>
      <w:r>
        <w:t>Boltzmann equation, independent counterions</w:t>
      </w:r>
    </w:p>
    <w:p w14:paraId="7119940E" w14:textId="77777777" w:rsidR="003315B0" w:rsidRDefault="003315B0">
      <w:pPr>
        <w:pStyle w:val="Equations"/>
      </w:pPr>
      <w:r>
        <w:rPr>
          <w:position w:val="-32"/>
        </w:rPr>
        <w:object w:dxaOrig="2580" w:dyaOrig="760" w14:anchorId="2557C47B">
          <v:shape id="_x0000_i1028" type="#_x0000_t75" style="width:128.4pt;height:38.4pt" o:ole="">
            <v:imagedata r:id="rId14" o:title=""/>
          </v:shape>
          <o:OLEObject Type="Embed" ProgID="Equation.3" ShapeID="_x0000_i1028" DrawAspect="Content" ObjectID="_1731747791" r:id="rId15"/>
        </w:object>
      </w:r>
    </w:p>
    <w:p w14:paraId="7D51E0F5" w14:textId="77777777" w:rsidR="003315B0" w:rsidRDefault="003315B0">
      <w:pPr>
        <w:pStyle w:val="LectureNotesNormal"/>
        <w:ind w:left="0" w:firstLine="0"/>
      </w:pPr>
      <w:r>
        <w:t>One leads to the other. So, must solve these simultaneously.  This is the Poisson-Boltzmann equation:</w:t>
      </w:r>
    </w:p>
    <w:p w14:paraId="49300B38" w14:textId="77777777" w:rsidR="003315B0" w:rsidRDefault="003315B0">
      <w:pPr>
        <w:pStyle w:val="Equations"/>
      </w:pPr>
      <w:r>
        <w:rPr>
          <w:position w:val="-32"/>
        </w:rPr>
        <w:object w:dxaOrig="2940" w:dyaOrig="780" w14:anchorId="331975A1">
          <v:shape id="_x0000_i1029" type="#_x0000_t75" style="width:147pt;height:39.6pt" o:ole="">
            <v:imagedata r:id="rId16" o:title=""/>
          </v:shape>
          <o:OLEObject Type="Embed" ProgID="Equation.3" ShapeID="_x0000_i1029" DrawAspect="Content" ObjectID="_1731747792" r:id="rId17"/>
        </w:object>
      </w:r>
    </w:p>
    <w:p w14:paraId="532B32B1" w14:textId="77777777" w:rsidR="003315B0" w:rsidRDefault="003315B0">
      <w:pPr>
        <w:pStyle w:val="LectureNotesNormal"/>
        <w:ind w:left="0" w:firstLine="0"/>
      </w:pPr>
      <w:r>
        <w:t>Solving (ala Boal, intermembrane forces)</w:t>
      </w:r>
    </w:p>
    <w:p w14:paraId="3B4497DA" w14:textId="77777777" w:rsidR="003315B0" w:rsidRDefault="00F21260">
      <w:pPr>
        <w:pStyle w:val="Equations"/>
      </w:pPr>
      <w:r w:rsidRPr="00B93894">
        <w:rPr>
          <w:position w:val="-62"/>
        </w:rPr>
        <w:object w:dxaOrig="2680" w:dyaOrig="1359" w14:anchorId="72C27E3F">
          <v:shape id="_x0000_i1030" type="#_x0000_t75" style="width:134.4pt;height:68.4pt" o:ole="">
            <v:imagedata r:id="rId18" o:title=""/>
          </v:shape>
          <o:OLEObject Type="Embed" ProgID="Equation.3" ShapeID="_x0000_i1030" DrawAspect="Content" ObjectID="_1731747793" r:id="rId19"/>
        </w:object>
      </w:r>
    </w:p>
    <w:p w14:paraId="51826115" w14:textId="77777777" w:rsidR="003315B0" w:rsidRDefault="003315B0">
      <w:pPr>
        <w:pStyle w:val="Equationnote"/>
      </w:pPr>
      <w:r>
        <w:t xml:space="preserve">where </w:t>
      </w:r>
      <w:proofErr w:type="spellStart"/>
      <w:r>
        <w:t>l</w:t>
      </w:r>
      <w:r>
        <w:rPr>
          <w:vertAlign w:val="subscript"/>
        </w:rPr>
        <w:t>B</w:t>
      </w:r>
      <w:proofErr w:type="spellEnd"/>
      <w:r>
        <w:t xml:space="preserve"> is the Bjerrum length</w:t>
      </w:r>
    </w:p>
    <w:p w14:paraId="11D34922" w14:textId="77777777" w:rsidR="003315B0" w:rsidRDefault="003315B0">
      <w:pPr>
        <w:pStyle w:val="Equations"/>
      </w:pPr>
      <w:r>
        <w:rPr>
          <w:position w:val="-30"/>
        </w:rPr>
        <w:object w:dxaOrig="1420" w:dyaOrig="760" w14:anchorId="2A723225">
          <v:shape id="_x0000_i1031" type="#_x0000_t75" style="width:70.8pt;height:38.4pt" o:ole="">
            <v:imagedata r:id="rId20" o:title=""/>
          </v:shape>
          <o:OLEObject Type="Embed" ProgID="Equation.3" ShapeID="_x0000_i1031" DrawAspect="Content" ObjectID="_1731747794" r:id="rId21"/>
        </w:object>
      </w:r>
    </w:p>
    <w:p w14:paraId="71A96368" w14:textId="77777777" w:rsidR="003315B0" w:rsidRDefault="003315B0">
      <w:pPr>
        <w:pStyle w:val="Equationnote"/>
      </w:pPr>
      <w:r>
        <w:t>one more substitution, to simplify</w:t>
      </w:r>
    </w:p>
    <w:p w14:paraId="0A57869E" w14:textId="77777777" w:rsidR="003315B0" w:rsidRDefault="003315B0">
      <w:pPr>
        <w:pStyle w:val="Equations"/>
      </w:pPr>
      <w:r>
        <w:rPr>
          <w:position w:val="-54"/>
        </w:rPr>
        <w:object w:dxaOrig="2280" w:dyaOrig="1200" w14:anchorId="79FA87A2">
          <v:shape id="_x0000_i1032" type="#_x0000_t75" style="width:114pt;height:60.6pt" o:ole="">
            <v:imagedata r:id="rId22" o:title=""/>
          </v:shape>
          <o:OLEObject Type="Embed" ProgID="Equation.3" ShapeID="_x0000_i1032" DrawAspect="Content" ObjectID="_1731747795" r:id="rId23"/>
        </w:object>
      </w:r>
    </w:p>
    <w:p w14:paraId="5AD41C5C" w14:textId="77777777" w:rsidR="003315B0" w:rsidRDefault="003315B0">
      <w:pPr>
        <w:pStyle w:val="Equations"/>
      </w:pPr>
      <w:r>
        <w:t xml:space="preserve">To solve, multiply both sides by </w:t>
      </w:r>
      <w:proofErr w:type="spellStart"/>
      <w:r>
        <w:t>dVprime</w:t>
      </w:r>
      <w:proofErr w:type="spellEnd"/>
      <w:r>
        <w:t>/dx then use the following relations:</w:t>
      </w:r>
    </w:p>
    <w:p w14:paraId="1650E1C5" w14:textId="77777777" w:rsidR="003315B0" w:rsidRDefault="003315B0">
      <w:pPr>
        <w:pStyle w:val="Equations"/>
      </w:pPr>
      <w:r>
        <w:rPr>
          <w:position w:val="-66"/>
        </w:rPr>
        <w:object w:dxaOrig="5720" w:dyaOrig="1440" w14:anchorId="1B325C06">
          <v:shape id="_x0000_i1033" type="#_x0000_t75" style="width:286.2pt;height:1in" o:ole="">
            <v:imagedata r:id="rId24" o:title=""/>
          </v:shape>
          <o:OLEObject Type="Embed" ProgID="Equation.3" ShapeID="_x0000_i1033" DrawAspect="Content" ObjectID="_1731747796" r:id="rId25"/>
        </w:object>
      </w:r>
    </w:p>
    <w:p w14:paraId="37F20F12" w14:textId="77777777" w:rsidR="003315B0" w:rsidRDefault="003315B0">
      <w:pPr>
        <w:pStyle w:val="Equationnote"/>
      </w:pPr>
      <w:r>
        <w:t>to rewrite the equation as:</w:t>
      </w:r>
    </w:p>
    <w:p w14:paraId="5C38EA79" w14:textId="77777777" w:rsidR="003315B0" w:rsidRDefault="003315B0">
      <w:pPr>
        <w:pStyle w:val="Equations"/>
      </w:pPr>
      <w:r>
        <w:rPr>
          <w:position w:val="-24"/>
        </w:rPr>
        <w:object w:dxaOrig="3080" w:dyaOrig="720" w14:anchorId="7601038E">
          <v:shape id="_x0000_i1034" type="#_x0000_t75" style="width:153.6pt;height:36.6pt" o:ole="">
            <v:imagedata r:id="rId26" o:title=""/>
          </v:shape>
          <o:OLEObject Type="Embed" ProgID="Equation.3" ShapeID="_x0000_i1034" DrawAspect="Content" ObjectID="_1731747797" r:id="rId27"/>
        </w:object>
      </w:r>
    </w:p>
    <w:p w14:paraId="0E8801FF" w14:textId="77777777" w:rsidR="003315B0" w:rsidRDefault="003315B0">
      <w:pPr>
        <w:pStyle w:val="Equationnote"/>
      </w:pPr>
      <w:r>
        <w:t>Integrate both sides by x and take a square root,</w:t>
      </w:r>
    </w:p>
    <w:p w14:paraId="12C1458B" w14:textId="77777777" w:rsidR="003315B0" w:rsidRDefault="003315B0">
      <w:pPr>
        <w:pStyle w:val="Equations"/>
      </w:pPr>
      <w:r>
        <w:rPr>
          <w:position w:val="-30"/>
        </w:rPr>
        <w:object w:dxaOrig="1980" w:dyaOrig="720" w14:anchorId="1FF25354">
          <v:shape id="_x0000_i1035" type="#_x0000_t75" style="width:99pt;height:36.6pt" o:ole="">
            <v:imagedata r:id="rId28" o:title=""/>
          </v:shape>
          <o:OLEObject Type="Embed" ProgID="Equation.3" ShapeID="_x0000_i1035" DrawAspect="Content" ObjectID="_1731747798" r:id="rId29"/>
        </w:object>
      </w:r>
    </w:p>
    <w:p w14:paraId="1B9597ED" w14:textId="77777777" w:rsidR="003315B0" w:rsidRDefault="003315B0">
      <w:pPr>
        <w:pStyle w:val="Equationnote"/>
      </w:pPr>
      <w:r>
        <w:t>NOTE: take the positive or negative square root as dictated by the species charge.  Also, there’s an integration constant, which was set to zero to get zero field gradient at infinity. Rewrite as</w:t>
      </w:r>
    </w:p>
    <w:p w14:paraId="54F21BF0" w14:textId="77777777" w:rsidR="003315B0" w:rsidRDefault="003315B0">
      <w:pPr>
        <w:pStyle w:val="Equations"/>
      </w:pPr>
      <w:r>
        <w:rPr>
          <w:position w:val="-30"/>
        </w:rPr>
        <w:object w:dxaOrig="1980" w:dyaOrig="720" w14:anchorId="2E7370FE">
          <v:shape id="_x0000_i1036" type="#_x0000_t75" style="width:99pt;height:36.6pt" o:ole="">
            <v:imagedata r:id="rId30" o:title=""/>
          </v:shape>
          <o:OLEObject Type="Embed" ProgID="Equation.3" ShapeID="_x0000_i1036" DrawAspect="Content" ObjectID="_1731747799" r:id="rId31"/>
        </w:object>
      </w:r>
    </w:p>
    <w:p w14:paraId="6726B2E8" w14:textId="77777777" w:rsidR="003315B0" w:rsidRDefault="003315B0">
      <w:pPr>
        <w:pStyle w:val="Equationnote"/>
      </w:pPr>
      <w:r>
        <w:t>Then integrate both sides as</w:t>
      </w:r>
    </w:p>
    <w:p w14:paraId="52AA5DA0" w14:textId="77777777" w:rsidR="003315B0" w:rsidRDefault="003315B0">
      <w:pPr>
        <w:pStyle w:val="Equations"/>
      </w:pPr>
      <w:r>
        <w:rPr>
          <w:position w:val="-30"/>
        </w:rPr>
        <w:object w:dxaOrig="1980" w:dyaOrig="720" w14:anchorId="1DC291F3">
          <v:shape id="_x0000_i1037" type="#_x0000_t75" style="width:99pt;height:36.6pt" o:ole="">
            <v:imagedata r:id="rId32" o:title=""/>
          </v:shape>
          <o:OLEObject Type="Embed" ProgID="Equation.3" ShapeID="_x0000_i1037" DrawAspect="Content" ObjectID="_1731747800" r:id="rId33"/>
        </w:object>
      </w:r>
    </w:p>
    <w:p w14:paraId="6CD699D1" w14:textId="77777777" w:rsidR="003315B0" w:rsidRDefault="003315B0">
      <w:pPr>
        <w:pStyle w:val="Equations"/>
      </w:pPr>
      <w:r>
        <w:t>then, substituting back into the Boltzmann equation,</w:t>
      </w:r>
    </w:p>
    <w:p w14:paraId="7FD7C6D5" w14:textId="77777777" w:rsidR="003315B0" w:rsidRDefault="00000000">
      <w:pPr>
        <w:pStyle w:val="Equations"/>
      </w:pPr>
      <w:r>
        <w:pict w14:anchorId="4C65CA4E">
          <v:shape id="_x0000_i1038" type="#_x0000_t75" style="width:198pt;height:35.4pt" o:allowoverlap="f">
            <v:imagedata r:id="rId34" o:title=""/>
          </v:shape>
        </w:pict>
      </w:r>
    </w:p>
    <w:p w14:paraId="13F3C667" w14:textId="77777777" w:rsidR="003315B0" w:rsidRDefault="003315B0">
      <w:pPr>
        <w:pStyle w:val="Equations"/>
      </w:pPr>
      <w:r>
        <w:t xml:space="preserve">Now, for neutrality, the integral of counterions must equal surface charge. </w:t>
      </w:r>
      <w:proofErr w:type="gramStart"/>
      <w:r>
        <w:t>Final result</w:t>
      </w:r>
      <w:proofErr w:type="gramEnd"/>
      <w:r>
        <w:t>:</w:t>
      </w:r>
    </w:p>
    <w:p w14:paraId="0A0F1BFD" w14:textId="77777777" w:rsidR="003315B0" w:rsidRDefault="003315B0">
      <w:pPr>
        <w:pStyle w:val="Equations"/>
      </w:pPr>
      <w:r>
        <w:rPr>
          <w:position w:val="-30"/>
        </w:rPr>
        <w:object w:dxaOrig="2180" w:dyaOrig="700" w14:anchorId="780EE08F">
          <v:shape id="_x0000_i1039" type="#_x0000_t75" style="width:111.6pt;height:34.8pt" o:ole="">
            <v:imagedata r:id="rId35" o:title=""/>
          </v:shape>
          <o:OLEObject Type="Embed" ProgID="Equation.3" ShapeID="_x0000_i1039" DrawAspect="Content" ObjectID="_1731747801" r:id="rId36"/>
        </w:object>
      </w:r>
    </w:p>
    <w:p w14:paraId="00B15FBA" w14:textId="77777777" w:rsidR="003315B0" w:rsidRDefault="003315B0">
      <w:pPr>
        <w:pStyle w:val="Equationnote"/>
      </w:pPr>
      <w:r>
        <w:t>So, this is the solution for counterions in solution.</w:t>
      </w:r>
    </w:p>
    <w:p w14:paraId="2FB2197E" w14:textId="77777777" w:rsidR="003315B0" w:rsidRDefault="003315B0">
      <w:pPr>
        <w:pStyle w:val="Heading2"/>
      </w:pPr>
      <w:r>
        <w:br w:type="textWrapping" w:clear="all"/>
        <w:t>Charged plate in electrolyte</w:t>
      </w:r>
    </w:p>
    <w:p w14:paraId="5E88D615" w14:textId="77777777" w:rsidR="003315B0" w:rsidRDefault="003315B0">
      <w:proofErr w:type="gramStart"/>
      <w:r>
        <w:t>In reality, there</w:t>
      </w:r>
      <w:proofErr w:type="gramEnd"/>
      <w:r>
        <w:t xml:space="preserve"> are salts, not just counterions around.  This problem is much more </w:t>
      </w:r>
      <w:proofErr w:type="gramStart"/>
      <w:r>
        <w:t>complicated, but</w:t>
      </w:r>
      <w:proofErr w:type="gramEnd"/>
      <w:r>
        <w:t xml:space="preserve"> handled in much the same way as the above case. Poisson and </w:t>
      </w:r>
      <w:proofErr w:type="spellStart"/>
      <w:r>
        <w:t>Boltmann</w:t>
      </w:r>
      <w:proofErr w:type="spellEnd"/>
      <w:r>
        <w:t xml:space="preserve"> forms are written for both positive and negative charges. An important result is:</w:t>
      </w:r>
    </w:p>
    <w:p w14:paraId="4289CAC5" w14:textId="77777777" w:rsidR="00862860" w:rsidRDefault="003315B0">
      <w:pPr>
        <w:pStyle w:val="Equations"/>
      </w:pPr>
      <w:r>
        <w:rPr>
          <w:position w:val="-30"/>
        </w:rPr>
        <w:object w:dxaOrig="2140" w:dyaOrig="720" w14:anchorId="6DC9C010">
          <v:shape id="_x0000_i1040" type="#_x0000_t75" style="width:106.8pt;height:36.6pt" o:ole="">
            <v:imagedata r:id="rId37" o:title=""/>
          </v:shape>
          <o:OLEObject Type="Embed" ProgID="Equation.3" ShapeID="_x0000_i1040" DrawAspect="Content" ObjectID="_1731747802" r:id="rId38"/>
        </w:object>
      </w:r>
      <w:r>
        <w:t xml:space="preserve">; </w:t>
      </w:r>
      <w:r>
        <w:rPr>
          <w:position w:val="-12"/>
        </w:rPr>
        <w:object w:dxaOrig="1860" w:dyaOrig="440" w14:anchorId="6FDA183A">
          <v:shape id="_x0000_i1041" type="#_x0000_t75" style="width:93pt;height:22.2pt" o:ole="">
            <v:imagedata r:id="rId39" o:title=""/>
          </v:shape>
          <o:OLEObject Type="Embed" ProgID="Equation.3" ShapeID="_x0000_i1041" DrawAspect="Content" ObjectID="_1731747803" r:id="rId40"/>
        </w:object>
      </w:r>
      <w:r>
        <w:t>;</w:t>
      </w:r>
    </w:p>
    <w:p w14:paraId="3B34AF59" w14:textId="77777777" w:rsidR="003315B0" w:rsidRDefault="00862860">
      <w:pPr>
        <w:pStyle w:val="Equations"/>
      </w:pPr>
      <w:r>
        <w:rPr>
          <w:position w:val="-30"/>
        </w:rPr>
        <w:object w:dxaOrig="1420" w:dyaOrig="760" w14:anchorId="1CE05100">
          <v:shape id="_x0000_i1042" type="#_x0000_t75" style="width:70.8pt;height:38.4pt" o:ole="">
            <v:imagedata r:id="rId20" o:title=""/>
          </v:shape>
          <o:OLEObject Type="Embed" ProgID="Equation.3" ShapeID="_x0000_i1042" DrawAspect="Content" ObjectID="_1731747804" r:id="rId41"/>
        </w:object>
      </w:r>
      <w:proofErr w:type="gramStart"/>
      <w:r>
        <w:t>;</w:t>
      </w:r>
      <w:r w:rsidR="003315B0">
        <w:t>c</w:t>
      </w:r>
      <w:r w:rsidR="003315B0">
        <w:rPr>
          <w:vertAlign w:val="subscript"/>
        </w:rPr>
        <w:t>s</w:t>
      </w:r>
      <w:proofErr w:type="gramEnd"/>
      <w:r w:rsidR="003315B0">
        <w:t>=</w:t>
      </w:r>
      <w:proofErr w:type="spellStart"/>
      <w:r w:rsidR="003315B0">
        <w:t>farfield</w:t>
      </w:r>
      <w:proofErr w:type="spellEnd"/>
      <w:r w:rsidR="003315B0">
        <w:t xml:space="preserve"> salt conc.</w:t>
      </w:r>
    </w:p>
    <w:p w14:paraId="6F37C39E" w14:textId="77777777" w:rsidR="003315B0" w:rsidRDefault="003315B0">
      <w:pPr>
        <w:pStyle w:val="Equations"/>
      </w:pPr>
      <w:r>
        <w:t xml:space="preserve">which is then integrated.  </w:t>
      </w:r>
      <w:proofErr w:type="spellStart"/>
      <w:r>
        <w:t>l</w:t>
      </w:r>
      <w:r>
        <w:rPr>
          <w:vertAlign w:val="subscript"/>
        </w:rPr>
        <w:t>D</w:t>
      </w:r>
      <w:proofErr w:type="spellEnd"/>
      <w:r>
        <w:t xml:space="preserve"> is the Debye length. For small potentials, this can be simplified to the Debye-</w:t>
      </w:r>
      <w:proofErr w:type="spellStart"/>
      <w:r>
        <w:t>Huckel</w:t>
      </w:r>
      <w:proofErr w:type="spellEnd"/>
      <w:r>
        <w:t xml:space="preserve"> form:</w:t>
      </w:r>
    </w:p>
    <w:p w14:paraId="49587FE1" w14:textId="2002DB98" w:rsidR="003315B0" w:rsidRDefault="0078569F" w:rsidP="0078569F">
      <w:pPr>
        <w:pStyle w:val="Equations"/>
      </w:pPr>
      <m:oMathPara>
        <m:oMath>
          <m:acc>
            <m:accPr>
              <m:chr m:val="̄"/>
              <m:ctrlPr>
                <w:rPr>
                  <w:rFonts w:ascii="Cambria Math"/>
                  <w:i/>
                </w:rPr>
              </m:ctrlPr>
            </m:accPr>
            <m:e>
              <m:r>
                <w:rPr>
                  <w:rFonts w:ascii="Cambria Math"/>
                </w:rPr>
                <m:t>V</m:t>
              </m:r>
            </m:e>
          </m:acc>
          <m:r>
            <w:rPr>
              <w:rFonts w:ascii="Cambria Math"/>
            </w:rPr>
            <m:t>=</m:t>
          </m:r>
          <m:sSub>
            <m:sSubPr>
              <m:ctrlPr>
                <w:rPr>
                  <w:rFonts w:ascii="Cambria Math"/>
                  <w:i/>
                </w:rPr>
              </m:ctrlPr>
            </m:sSubPr>
            <m:e>
              <m:acc>
                <m:accPr>
                  <m:chr m:val="̄"/>
                  <m:ctrlPr>
                    <w:rPr>
                      <w:rFonts w:ascii="Cambria Math"/>
                      <w:i/>
                    </w:rPr>
                  </m:ctrlPr>
                </m:accPr>
                <m:e>
                  <m:r>
                    <w:rPr>
                      <w:rFonts w:ascii="Cambria Math"/>
                    </w:rPr>
                    <m:t>V</m:t>
                  </m:r>
                </m:e>
              </m:acc>
            </m:e>
            <m:sub>
              <m:r>
                <w:rPr>
                  <w:rFonts w:ascii="Cambria Math"/>
                </w:rPr>
                <m:t>0</m:t>
              </m:r>
            </m:sub>
          </m:sSub>
          <m:func>
            <m:funcPr>
              <m:ctrlPr>
                <w:rPr>
                  <w:rFonts w:ascii="Cambria Math"/>
                  <w:i/>
                </w:rPr>
              </m:ctrlPr>
            </m:funcPr>
            <m:fName>
              <m:r>
                <w:rPr>
                  <w:rFonts w:ascii="Cambria Math"/>
                </w:rPr>
                <m:t>exp</m:t>
              </m:r>
            </m:fName>
            <m:e>
              <m:d>
                <m:dPr>
                  <m:ctrlPr>
                    <w:rPr>
                      <w:rFonts w:ascii="Cambria Math"/>
                      <w:i/>
                    </w:rPr>
                  </m:ctrlPr>
                </m:dPr>
                <m:e>
                  <m:r>
                    <w:rPr>
                      <w:rFonts w:ascii="Cambria Math"/>
                    </w:rPr>
                    <m:t>-</m:t>
                  </m:r>
                  <m:f>
                    <m:fPr>
                      <m:ctrlPr>
                        <w:rPr>
                          <w:rFonts w:ascii="Cambria Math"/>
                          <w:i/>
                        </w:rPr>
                      </m:ctrlPr>
                    </m:fPr>
                    <m:num>
                      <m:r>
                        <w:rPr>
                          <w:rFonts w:ascii="Cambria Math"/>
                        </w:rPr>
                        <m:t>x</m:t>
                      </m:r>
                    </m:num>
                    <m:den>
                      <m:sSub>
                        <m:sSubPr>
                          <m:ctrlPr>
                            <w:rPr>
                              <w:rFonts w:ascii="Cambria Math"/>
                              <w:i/>
                            </w:rPr>
                          </m:ctrlPr>
                        </m:sSubPr>
                        <m:e>
                          <m:r>
                            <w:rPr>
                              <w:rFonts w:ascii="Cambria Math"/>
                            </w:rPr>
                            <m:t>l</m:t>
                          </m:r>
                        </m:e>
                        <m:sub>
                          <m:r>
                            <w:rPr>
                              <w:rFonts w:ascii="Cambria Math"/>
                            </w:rPr>
                            <m:t>D</m:t>
                          </m:r>
                        </m:sub>
                      </m:sSub>
                      <m:ctrlPr>
                        <w:rPr>
                          <w:rFonts w:ascii="Cambria Math" w:hAnsi="Cambria Math"/>
                          <w:i/>
                        </w:rPr>
                      </m:ctrlPr>
                    </m:den>
                  </m:f>
                  <m:ctrlPr>
                    <w:rPr>
                      <w:rFonts w:ascii="Cambria Math" w:hAnsi="Cambria Math"/>
                      <w:i/>
                    </w:rPr>
                  </m:ctrlPr>
                </m:e>
              </m:d>
              <m:ctrlPr>
                <w:rPr>
                  <w:rFonts w:ascii="Cambria Math" w:hAnsi="Cambria Math"/>
                  <w:i/>
                </w:rPr>
              </m:ctrlPr>
            </m:e>
          </m:func>
        </m:oMath>
      </m:oMathPara>
    </w:p>
    <w:p w14:paraId="632EC1C3" w14:textId="77777777" w:rsidR="003315B0" w:rsidRDefault="003315B0">
      <w:pPr>
        <w:pStyle w:val="Equationnote"/>
      </w:pPr>
      <w:r>
        <w:t xml:space="preserve">So, the Debye length sets a fundamental distance for the influence of a charged surface in an electrolyte bath. For a typical Bjerrum length of 0.7 nm, 0.2M monovalent salt, body temp, </w:t>
      </w:r>
      <w:proofErr w:type="spellStart"/>
      <w:r>
        <w:t>l</w:t>
      </w:r>
      <w:r>
        <w:rPr>
          <w:vertAlign w:val="subscript"/>
        </w:rPr>
        <w:t>D</w:t>
      </w:r>
      <w:proofErr w:type="spellEnd"/>
      <w:r>
        <w:t xml:space="preserve"> about 0.7 nm.</w:t>
      </w:r>
    </w:p>
    <w:p w14:paraId="13CC4CAE" w14:textId="77777777" w:rsidR="003315B0" w:rsidRDefault="003315B0">
      <w:pPr>
        <w:pStyle w:val="LectureNotesNormal"/>
      </w:pPr>
    </w:p>
    <w:p w14:paraId="1FA665D6" w14:textId="77777777" w:rsidR="003315B0" w:rsidRDefault="003315B0">
      <w:pPr>
        <w:pStyle w:val="LectureNotesNormal"/>
      </w:pPr>
      <w:r>
        <w:t xml:space="preserve">So, this described the thickness of the ion layer.  This is a simplification that assumes a point charge; at these scales, the size of the ions makes a difference. </w:t>
      </w:r>
    </w:p>
    <w:p w14:paraId="4D9D862D" w14:textId="77777777" w:rsidR="00A14FEF" w:rsidRDefault="00A14FEF" w:rsidP="00A14FEF">
      <w:pPr>
        <w:pStyle w:val="Heading1"/>
      </w:pPr>
      <w:r>
        <w:t>Nernst Potential</w:t>
      </w:r>
    </w:p>
    <w:p w14:paraId="2F315878" w14:textId="77777777" w:rsidR="00A14FEF" w:rsidRDefault="00A14FEF" w:rsidP="00A14FEF">
      <w:pPr>
        <w:pStyle w:val="LectureNotesNormal"/>
      </w:pPr>
      <w:r>
        <w:t>From our discussion of sedimentation,</w:t>
      </w:r>
    </w:p>
    <w:p w14:paraId="131BD18F" w14:textId="77777777" w:rsidR="00A14FEF" w:rsidRDefault="007A7CF1" w:rsidP="00A14FEF">
      <w:pPr>
        <w:pStyle w:val="Equations"/>
      </w:pPr>
      <w:r w:rsidRPr="008F1D84">
        <w:rPr>
          <w:position w:val="-24"/>
        </w:rPr>
        <w:object w:dxaOrig="2860" w:dyaOrig="620" w14:anchorId="07DEBE22">
          <v:shape id="_x0000_i1044" type="#_x0000_t75" style="width:142.8pt;height:30.6pt" o:ole="">
            <v:imagedata r:id="rId42" o:title=""/>
          </v:shape>
          <o:OLEObject Type="Embed" ProgID="Equation.3" ShapeID="_x0000_i1044" DrawAspect="Content" ObjectID="_1731747805" r:id="rId43"/>
        </w:object>
      </w:r>
    </w:p>
    <w:p w14:paraId="2D4305E2" w14:textId="77777777" w:rsidR="00A14FEF" w:rsidRDefault="008F1D84" w:rsidP="00A14FEF">
      <w:pPr>
        <w:pStyle w:val="Equationnote"/>
      </w:pPr>
      <w:r>
        <w:t xml:space="preserve">Solution </w:t>
      </w:r>
      <w:proofErr w:type="gramStart"/>
      <w:r>
        <w:t>is:</w:t>
      </w:r>
      <w:proofErr w:type="gramEnd"/>
      <w:r>
        <w:t xml:space="preserve"> C(x</w:t>
      </w:r>
      <w:r w:rsidR="00A14FEF">
        <w:t>)=C</w:t>
      </w:r>
      <w:r w:rsidR="00A14FEF">
        <w:rPr>
          <w:vertAlign w:val="subscript"/>
        </w:rPr>
        <w:t>0</w:t>
      </w:r>
      <w:r w:rsidR="007A7CF1">
        <w:t>exp(</w:t>
      </w:r>
      <w:r>
        <w:t>v*x</w:t>
      </w:r>
      <w:r w:rsidR="00A14FEF">
        <w:t>/D).</w:t>
      </w:r>
    </w:p>
    <w:p w14:paraId="7F458C02" w14:textId="77777777" w:rsidR="00A14FEF" w:rsidRDefault="00B81DB2" w:rsidP="00A14FEF">
      <w:pPr>
        <w:pStyle w:val="Equationnote"/>
      </w:pPr>
      <w:r>
        <w:t>In this case,</w:t>
      </w:r>
      <w:r w:rsidR="00A14FEF">
        <w:t xml:space="preserve"> v=</w:t>
      </w:r>
      <w:r w:rsidR="00A14FEF">
        <w:sym w:font="Symbol" w:char="F06D"/>
      </w:r>
      <w:r w:rsidR="00A14FEF">
        <w:t>*F=</w:t>
      </w:r>
      <w:r w:rsidR="00A14FEF">
        <w:sym w:font="Symbol" w:char="F06D"/>
      </w:r>
      <w:r w:rsidR="00A14FEF">
        <w:t>*q*</w:t>
      </w:r>
      <w:r w:rsidR="00A14FEF">
        <w:sym w:font="Symbol" w:char="F065"/>
      </w:r>
      <w:r w:rsidR="00A14FEF">
        <w:t xml:space="preserve">, where </w:t>
      </w:r>
      <w:r w:rsidR="00A14FEF">
        <w:sym w:font="Symbol" w:char="F065"/>
      </w:r>
      <w:r w:rsidR="00A14FEF">
        <w:t>= electric field and q is charge on the diffusing species.</w:t>
      </w:r>
    </w:p>
    <w:p w14:paraId="2A1931EC" w14:textId="77777777" w:rsidR="00A14FEF" w:rsidRPr="00FF3BFA" w:rsidRDefault="008F1D84" w:rsidP="00A14FEF">
      <w:pPr>
        <w:pStyle w:val="Equationnote"/>
        <w:rPr>
          <w:lang w:val="de-DE"/>
        </w:rPr>
      </w:pPr>
      <w:r>
        <w:rPr>
          <w:lang w:val="de-DE"/>
        </w:rPr>
        <w:t>So, C(x</w:t>
      </w:r>
      <w:r w:rsidR="00A14FEF" w:rsidRPr="00FF3BFA">
        <w:rPr>
          <w:lang w:val="de-DE"/>
        </w:rPr>
        <w:t>)=C</w:t>
      </w:r>
      <w:r w:rsidR="00A14FEF" w:rsidRPr="00FF3BFA">
        <w:rPr>
          <w:vertAlign w:val="subscript"/>
          <w:lang w:val="de-DE"/>
        </w:rPr>
        <w:t>0</w:t>
      </w:r>
      <w:r w:rsidR="007A7CF1">
        <w:rPr>
          <w:lang w:val="de-DE"/>
        </w:rPr>
        <w:t>*exp(</w:t>
      </w:r>
      <w:r w:rsidR="00A14FEF" w:rsidRPr="00FF3BFA">
        <w:rPr>
          <w:lang w:val="de-DE"/>
        </w:rPr>
        <w:t>q*</w:t>
      </w:r>
      <w:r w:rsidR="00A14FEF">
        <w:sym w:font="Symbol" w:char="F065"/>
      </w:r>
      <w:r w:rsidR="00B67863">
        <w:rPr>
          <w:lang w:val="de-DE"/>
        </w:rPr>
        <w:t>*x</w:t>
      </w:r>
      <w:r w:rsidR="00A14FEF" w:rsidRPr="00FF3BFA">
        <w:rPr>
          <w:lang w:val="de-DE"/>
        </w:rPr>
        <w:t>/(k</w:t>
      </w:r>
      <w:r w:rsidR="00A14FEF" w:rsidRPr="00FF3BFA">
        <w:rPr>
          <w:vertAlign w:val="subscript"/>
          <w:lang w:val="de-DE"/>
        </w:rPr>
        <w:t>B</w:t>
      </w:r>
      <w:r w:rsidR="00A14FEF" w:rsidRPr="00FF3BFA">
        <w:rPr>
          <w:lang w:val="de-DE"/>
        </w:rPr>
        <w:t>T))</w:t>
      </w:r>
    </w:p>
    <w:p w14:paraId="239CF4B1" w14:textId="77777777" w:rsidR="00A14FEF" w:rsidRDefault="00A14FEF" w:rsidP="00A14FEF">
      <w:pPr>
        <w:pStyle w:val="Equationnote"/>
      </w:pPr>
      <w:r>
        <w:t xml:space="preserve">Now, taking C1 and C2 as the voltages taken at distances L, and </w:t>
      </w:r>
      <w:r>
        <w:sym w:font="Symbol" w:char="F065"/>
      </w:r>
      <w:r>
        <w:t>=</w:t>
      </w:r>
      <w:r>
        <w:sym w:font="Symbol" w:char="F044"/>
      </w:r>
      <w:r>
        <w:t>V/L</w:t>
      </w:r>
    </w:p>
    <w:p w14:paraId="5763E87D" w14:textId="77777777" w:rsidR="00A14FEF" w:rsidRPr="007A7CF1" w:rsidRDefault="007A7CF1" w:rsidP="00A14FEF">
      <w:pPr>
        <w:pStyle w:val="Equations"/>
        <w:rPr>
          <w:lang w:val="sv-SE"/>
        </w:rPr>
      </w:pPr>
      <w:r w:rsidRPr="007A7CF1">
        <w:rPr>
          <w:lang w:val="sv-SE"/>
        </w:rPr>
        <w:t>C2 = C1 * exp(</w:t>
      </w:r>
      <w:r w:rsidR="00A14FEF" w:rsidRPr="007A7CF1">
        <w:rPr>
          <w:lang w:val="sv-SE"/>
        </w:rPr>
        <w:t>q*(</w:t>
      </w:r>
      <w:r w:rsidR="00A14FEF">
        <w:sym w:font="Symbol" w:char="F044"/>
      </w:r>
      <w:r w:rsidR="00A14FEF" w:rsidRPr="007A7CF1">
        <w:rPr>
          <w:lang w:val="sv-SE"/>
        </w:rPr>
        <w:t>V/L)*L/(k</w:t>
      </w:r>
      <w:r w:rsidR="00A14FEF" w:rsidRPr="007A7CF1">
        <w:rPr>
          <w:vertAlign w:val="subscript"/>
          <w:lang w:val="sv-SE"/>
        </w:rPr>
        <w:t>B</w:t>
      </w:r>
      <w:r w:rsidR="00A14FEF" w:rsidRPr="007A7CF1">
        <w:rPr>
          <w:lang w:val="sv-SE"/>
        </w:rPr>
        <w:t>T))</w:t>
      </w:r>
    </w:p>
    <w:p w14:paraId="2EDAFA79" w14:textId="77777777" w:rsidR="00A14FEF" w:rsidRDefault="00A14FEF" w:rsidP="00A14FEF">
      <w:pPr>
        <w:pStyle w:val="Equations"/>
      </w:pPr>
      <w:r>
        <w:t>This leads us to</w:t>
      </w:r>
    </w:p>
    <w:p w14:paraId="21C7BF7D" w14:textId="77777777" w:rsidR="00A14FEF" w:rsidRDefault="00A14FEF" w:rsidP="00A14FEF">
      <w:pPr>
        <w:pStyle w:val="Equations"/>
      </w:pPr>
      <w:r>
        <w:rPr>
          <w:position w:val="-28"/>
        </w:rPr>
        <w:object w:dxaOrig="4140" w:dyaOrig="680" w14:anchorId="0730E22A">
          <v:shape id="_x0000_i1045" type="#_x0000_t75" style="width:207.6pt;height:33.6pt" o:ole="">
            <v:imagedata r:id="rId44" o:title=""/>
          </v:shape>
          <o:OLEObject Type="Embed" ProgID="Equation.3" ShapeID="_x0000_i1045" DrawAspect="Content" ObjectID="_1731747806" r:id="rId45"/>
        </w:object>
      </w:r>
    </w:p>
    <w:p w14:paraId="0709D57C" w14:textId="77777777" w:rsidR="00A14FEF" w:rsidRDefault="00A14FEF" w:rsidP="00A14FEF"/>
    <w:tbl>
      <w:tblPr>
        <w:tblW w:w="0" w:type="auto"/>
        <w:tblInd w:w="1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
        <w:gridCol w:w="1518"/>
        <w:gridCol w:w="1750"/>
        <w:gridCol w:w="1679"/>
      </w:tblGrid>
      <w:tr w:rsidR="00A14FEF" w14:paraId="65BFB6C4" w14:textId="77777777">
        <w:trPr>
          <w:cantSplit/>
        </w:trPr>
        <w:tc>
          <w:tcPr>
            <w:tcW w:w="1040" w:type="dxa"/>
          </w:tcPr>
          <w:p w14:paraId="1F4FBCEE" w14:textId="77777777" w:rsidR="00A14FEF" w:rsidRDefault="00A14FEF" w:rsidP="003315B0">
            <w:r>
              <w:t>Ion</w:t>
            </w:r>
          </w:p>
        </w:tc>
        <w:tc>
          <w:tcPr>
            <w:tcW w:w="4947" w:type="dxa"/>
            <w:gridSpan w:val="3"/>
          </w:tcPr>
          <w:p w14:paraId="510FC9DB" w14:textId="77777777" w:rsidR="00A14FEF" w:rsidRDefault="00A14FEF" w:rsidP="003315B0">
            <w:pPr>
              <w:pStyle w:val="IndexHeading"/>
            </w:pPr>
            <w:r>
              <w:t>concentration (mM)</w:t>
            </w:r>
          </w:p>
        </w:tc>
      </w:tr>
      <w:tr w:rsidR="00A14FEF" w14:paraId="2AA8425B" w14:textId="77777777">
        <w:tc>
          <w:tcPr>
            <w:tcW w:w="1040" w:type="dxa"/>
          </w:tcPr>
          <w:p w14:paraId="06D35FBD" w14:textId="77777777" w:rsidR="00A14FEF" w:rsidRDefault="00A14FEF" w:rsidP="003315B0"/>
        </w:tc>
        <w:tc>
          <w:tcPr>
            <w:tcW w:w="1518" w:type="dxa"/>
          </w:tcPr>
          <w:p w14:paraId="760C83AA" w14:textId="77777777" w:rsidR="00A14FEF" w:rsidRDefault="00A14FEF" w:rsidP="003315B0">
            <w:r>
              <w:t>interstitial space</w:t>
            </w:r>
          </w:p>
        </w:tc>
        <w:tc>
          <w:tcPr>
            <w:tcW w:w="1750" w:type="dxa"/>
          </w:tcPr>
          <w:p w14:paraId="5923FED4" w14:textId="77777777" w:rsidR="00A14FEF" w:rsidRDefault="00A14FEF" w:rsidP="003315B0">
            <w:r>
              <w:t>cell (“typical”)</w:t>
            </w:r>
          </w:p>
        </w:tc>
        <w:tc>
          <w:tcPr>
            <w:tcW w:w="1679" w:type="dxa"/>
          </w:tcPr>
          <w:p w14:paraId="54F3DE69" w14:textId="77777777" w:rsidR="00A14FEF" w:rsidRDefault="00A14FEF" w:rsidP="003315B0">
            <w:proofErr w:type="spellStart"/>
            <w:r>
              <w:t>V</w:t>
            </w:r>
            <w:r>
              <w:rPr>
                <w:vertAlign w:val="superscript"/>
              </w:rPr>
              <w:t>nernst</w:t>
            </w:r>
            <w:proofErr w:type="spellEnd"/>
            <w:r>
              <w:t xml:space="preserve"> (mV)</w:t>
            </w:r>
            <w:r>
              <w:br/>
              <w:t>(37</w:t>
            </w:r>
            <w:r>
              <w:sym w:font="Symbol" w:char="F0B0"/>
            </w:r>
            <w:r>
              <w:t>C)</w:t>
            </w:r>
          </w:p>
        </w:tc>
      </w:tr>
      <w:tr w:rsidR="00A14FEF" w14:paraId="3264C45A" w14:textId="77777777">
        <w:tc>
          <w:tcPr>
            <w:tcW w:w="1040" w:type="dxa"/>
          </w:tcPr>
          <w:p w14:paraId="1406593B" w14:textId="77777777" w:rsidR="00A14FEF" w:rsidRDefault="00A14FEF" w:rsidP="003315B0">
            <w:pPr>
              <w:rPr>
                <w:vertAlign w:val="subscript"/>
              </w:rPr>
            </w:pPr>
            <w:r>
              <w:t>Na</w:t>
            </w:r>
            <w:r>
              <w:rPr>
                <w:vertAlign w:val="superscript"/>
              </w:rPr>
              <w:t>+</w:t>
            </w:r>
            <w:r>
              <w:rPr>
                <w:vertAlign w:val="subscript"/>
              </w:rPr>
              <w:t>,</w:t>
            </w:r>
          </w:p>
        </w:tc>
        <w:tc>
          <w:tcPr>
            <w:tcW w:w="1518" w:type="dxa"/>
          </w:tcPr>
          <w:p w14:paraId="5299DA70" w14:textId="77777777" w:rsidR="00A14FEF" w:rsidRDefault="00A14FEF" w:rsidP="003315B0">
            <w:pPr>
              <w:jc w:val="center"/>
            </w:pPr>
            <w:r>
              <w:t>145</w:t>
            </w:r>
          </w:p>
        </w:tc>
        <w:tc>
          <w:tcPr>
            <w:tcW w:w="1750" w:type="dxa"/>
          </w:tcPr>
          <w:p w14:paraId="735DE8C1" w14:textId="77777777" w:rsidR="00A14FEF" w:rsidRDefault="00A14FEF" w:rsidP="003315B0">
            <w:pPr>
              <w:jc w:val="center"/>
            </w:pPr>
            <w:r>
              <w:t>15</w:t>
            </w:r>
          </w:p>
        </w:tc>
        <w:tc>
          <w:tcPr>
            <w:tcW w:w="1679" w:type="dxa"/>
          </w:tcPr>
          <w:p w14:paraId="74B72DCB" w14:textId="77777777" w:rsidR="00A14FEF" w:rsidRDefault="00A14FEF" w:rsidP="003315B0">
            <w:pPr>
              <w:jc w:val="center"/>
            </w:pPr>
            <w:r>
              <w:t>+61</w:t>
            </w:r>
          </w:p>
        </w:tc>
      </w:tr>
      <w:tr w:rsidR="00A14FEF" w14:paraId="58E17E16" w14:textId="77777777">
        <w:tc>
          <w:tcPr>
            <w:tcW w:w="1040" w:type="dxa"/>
          </w:tcPr>
          <w:p w14:paraId="5ECD710F" w14:textId="77777777" w:rsidR="00A14FEF" w:rsidRDefault="00A14FEF" w:rsidP="003315B0">
            <w:r>
              <w:t>K</w:t>
            </w:r>
            <w:r>
              <w:rPr>
                <w:vertAlign w:val="superscript"/>
              </w:rPr>
              <w:t>+</w:t>
            </w:r>
            <w:r>
              <w:t xml:space="preserve">, </w:t>
            </w:r>
          </w:p>
        </w:tc>
        <w:tc>
          <w:tcPr>
            <w:tcW w:w="1518" w:type="dxa"/>
          </w:tcPr>
          <w:p w14:paraId="0A77276A" w14:textId="77777777" w:rsidR="00A14FEF" w:rsidRDefault="00A14FEF" w:rsidP="003315B0">
            <w:pPr>
              <w:jc w:val="center"/>
            </w:pPr>
            <w:r>
              <w:t>4.5</w:t>
            </w:r>
          </w:p>
        </w:tc>
        <w:tc>
          <w:tcPr>
            <w:tcW w:w="1750" w:type="dxa"/>
          </w:tcPr>
          <w:p w14:paraId="182FD49E" w14:textId="77777777" w:rsidR="00A14FEF" w:rsidRDefault="00A14FEF" w:rsidP="003315B0">
            <w:pPr>
              <w:jc w:val="center"/>
            </w:pPr>
            <w:r>
              <w:t>120</w:t>
            </w:r>
          </w:p>
        </w:tc>
        <w:tc>
          <w:tcPr>
            <w:tcW w:w="1679" w:type="dxa"/>
          </w:tcPr>
          <w:p w14:paraId="7DFC7355" w14:textId="77777777" w:rsidR="00A14FEF" w:rsidRDefault="00A14FEF" w:rsidP="003315B0">
            <w:pPr>
              <w:jc w:val="center"/>
            </w:pPr>
            <w:r>
              <w:t>-85</w:t>
            </w:r>
          </w:p>
        </w:tc>
      </w:tr>
      <w:tr w:rsidR="00A14FEF" w14:paraId="4514974D" w14:textId="77777777">
        <w:tc>
          <w:tcPr>
            <w:tcW w:w="1040" w:type="dxa"/>
          </w:tcPr>
          <w:p w14:paraId="5DAEF5B8" w14:textId="77777777" w:rsidR="00A14FEF" w:rsidRDefault="00A14FEF" w:rsidP="003315B0">
            <w:r>
              <w:t>Cl</w:t>
            </w:r>
            <w:r>
              <w:rPr>
                <w:vertAlign w:val="superscript"/>
              </w:rPr>
              <w:t>-</w:t>
            </w:r>
            <w:r>
              <w:t xml:space="preserve">, </w:t>
            </w:r>
          </w:p>
        </w:tc>
        <w:tc>
          <w:tcPr>
            <w:tcW w:w="1518" w:type="dxa"/>
          </w:tcPr>
          <w:p w14:paraId="1C158AFB" w14:textId="77777777" w:rsidR="00A14FEF" w:rsidRDefault="00A14FEF" w:rsidP="003315B0">
            <w:pPr>
              <w:jc w:val="center"/>
            </w:pPr>
            <w:r>
              <w:t>116</w:t>
            </w:r>
          </w:p>
        </w:tc>
        <w:tc>
          <w:tcPr>
            <w:tcW w:w="1750" w:type="dxa"/>
          </w:tcPr>
          <w:p w14:paraId="018191AF" w14:textId="77777777" w:rsidR="00A14FEF" w:rsidRDefault="00A14FEF" w:rsidP="003315B0">
            <w:pPr>
              <w:jc w:val="center"/>
            </w:pPr>
            <w:r>
              <w:t>20</w:t>
            </w:r>
          </w:p>
        </w:tc>
        <w:tc>
          <w:tcPr>
            <w:tcW w:w="1679" w:type="dxa"/>
          </w:tcPr>
          <w:p w14:paraId="62BE9986" w14:textId="77777777" w:rsidR="00A14FEF" w:rsidRDefault="00A14FEF" w:rsidP="003315B0">
            <w:pPr>
              <w:jc w:val="center"/>
            </w:pPr>
            <w:r>
              <w:t>-47</w:t>
            </w:r>
          </w:p>
        </w:tc>
      </w:tr>
    </w:tbl>
    <w:p w14:paraId="41FD404F" w14:textId="77777777" w:rsidR="00A14FEF" w:rsidRDefault="00A14FEF" w:rsidP="00A14FEF">
      <w:pPr>
        <w:pStyle w:val="LectureNotesNormal"/>
      </w:pPr>
      <w:r>
        <w:t>Okay, relate back to the membrane. If we assume:</w:t>
      </w:r>
    </w:p>
    <w:p w14:paraId="2B9900A6" w14:textId="77777777" w:rsidR="00A14FEF" w:rsidRDefault="00A14FEF" w:rsidP="00A14FEF">
      <w:pPr>
        <w:pStyle w:val="LectureNotesNormal"/>
      </w:pPr>
      <w:r>
        <w:t xml:space="preserve">Field </w:t>
      </w:r>
      <w:r>
        <w:sym w:font="Symbol" w:char="F065"/>
      </w:r>
      <w:r>
        <w:t xml:space="preserve"> is present and uniform in the range of the lipid bilayer, and only there</w:t>
      </w:r>
    </w:p>
    <w:p w14:paraId="27BAB400" w14:textId="77777777" w:rsidR="00A14FEF" w:rsidRDefault="00A14FEF" w:rsidP="00A14FEF">
      <w:pPr>
        <w:pStyle w:val="LectureNotesNormal"/>
      </w:pPr>
      <w:r>
        <w:t>The field is produced by the unbalance of ion charges, but the number of charges needed to create this potential doesn’t significantly change bulk concentrations of soluble ions</w:t>
      </w:r>
    </w:p>
    <w:p w14:paraId="409839B8" w14:textId="77777777" w:rsidR="00A14FEF" w:rsidRDefault="00A14FEF" w:rsidP="00A14FEF">
      <w:pPr>
        <w:pStyle w:val="LectureNotesNormal"/>
      </w:pPr>
      <w:r>
        <w:t>The diffusing particles act independently, and don’t alter the electric field</w:t>
      </w:r>
    </w:p>
    <w:p w14:paraId="2AEB19E4" w14:textId="77777777" w:rsidR="00A14FEF" w:rsidRDefault="00A14FEF" w:rsidP="00A14FEF">
      <w:pPr>
        <w:pStyle w:val="LectureNotesNormal"/>
      </w:pPr>
      <w:r>
        <w:t>This is the potential needed to produce no net flux of ions across a region separating two solutions of different bulk concentrations of an ion. This is the Nernst potential.</w:t>
      </w:r>
    </w:p>
    <w:p w14:paraId="184D15B3" w14:textId="77777777" w:rsidR="00A14FEF" w:rsidRDefault="00A14FEF" w:rsidP="00A14FEF">
      <w:pPr>
        <w:pStyle w:val="LectureNotesNormal"/>
      </w:pPr>
      <w:r>
        <w:t>For our example K</w:t>
      </w:r>
      <w:r>
        <w:rPr>
          <w:vertAlign w:val="superscript"/>
        </w:rPr>
        <w:t>+</w:t>
      </w:r>
      <w:r>
        <w:t xml:space="preserve"> ions selectively diffusing from a cell, the potential is negative, drawing the positive charges back towards the membrane. If the membrane potential is not as negative, K</w:t>
      </w:r>
      <w:r>
        <w:rPr>
          <w:vertAlign w:val="superscript"/>
        </w:rPr>
        <w:t>+</w:t>
      </w:r>
      <w:r>
        <w:t xml:space="preserve"> ions continue to flow out, decreasing the membrane potential further.  If the membrane potential is more negative than the Nernst potential for K</w:t>
      </w:r>
      <w:r>
        <w:rPr>
          <w:vertAlign w:val="superscript"/>
        </w:rPr>
        <w:t>+</w:t>
      </w:r>
      <w:r>
        <w:t>, these ions are, in effect, pulled back into the cell.</w:t>
      </w:r>
    </w:p>
    <w:p w14:paraId="60462DA5" w14:textId="77777777" w:rsidR="003315B0" w:rsidRDefault="003315B0">
      <w:pPr>
        <w:pStyle w:val="Heading1"/>
      </w:pPr>
      <w:proofErr w:type="spellStart"/>
      <w:r>
        <w:t>Electrodiffusion</w:t>
      </w:r>
      <w:proofErr w:type="spellEnd"/>
      <w:r>
        <w:t xml:space="preserve"> (Goldman-Hodgkin-Katz equations):</w:t>
      </w:r>
    </w:p>
    <w:p w14:paraId="7F5206ED" w14:textId="77777777" w:rsidR="003315B0" w:rsidRDefault="003315B0">
      <w:pPr>
        <w:pStyle w:val="LectureNotesNormal"/>
      </w:pPr>
      <w:r>
        <w:t>How does the presence of the electric field affect ion movement?</w:t>
      </w:r>
    </w:p>
    <w:p w14:paraId="08E0B932" w14:textId="77777777" w:rsidR="003315B0" w:rsidRDefault="003315B0">
      <w:pPr>
        <w:pStyle w:val="LectureNotesNormal"/>
      </w:pPr>
      <w:r>
        <w:t>Start with the 1-D version of the Nernst-Planck equation we encountered earlier, slightly modified into x, and regrouped with respect to D.</w:t>
      </w:r>
    </w:p>
    <w:p w14:paraId="302D79D3" w14:textId="77777777" w:rsidR="003315B0" w:rsidRDefault="003315B0">
      <w:pPr>
        <w:pStyle w:val="Equations"/>
      </w:pPr>
      <w:r>
        <w:rPr>
          <w:position w:val="-30"/>
        </w:rPr>
        <w:object w:dxaOrig="3080" w:dyaOrig="680" w14:anchorId="7961277E">
          <v:shape id="_x0000_i1046" type="#_x0000_t75" style="width:153.6pt;height:33.6pt" o:ole="">
            <v:imagedata r:id="rId46" o:title=""/>
          </v:shape>
          <o:OLEObject Type="Embed" ProgID="Equation.3" ShapeID="_x0000_i1046" DrawAspect="Content" ObjectID="_1731747807" r:id="rId47"/>
        </w:object>
      </w:r>
      <w:r>
        <w:t>; Nernst-Planck equation</w:t>
      </w:r>
    </w:p>
    <w:p w14:paraId="5BA75224" w14:textId="77777777" w:rsidR="00D255B3" w:rsidRDefault="003315B0" w:rsidP="00D255B3">
      <w:pPr>
        <w:jc w:val="center"/>
      </w:pPr>
      <w:r>
        <w:t xml:space="preserve">q = charge on diffusing particle, </w:t>
      </w:r>
      <w:r>
        <w:sym w:font="Symbol" w:char="F065"/>
      </w:r>
      <w:r>
        <w:t xml:space="preserve"> = electric field</w:t>
      </w:r>
      <w:r w:rsidR="00D255B3">
        <w:t xml:space="preserve">; </w:t>
      </w:r>
      <w:r w:rsidR="00D255B3">
        <w:rPr>
          <w:position w:val="-10"/>
        </w:rPr>
        <w:object w:dxaOrig="1080" w:dyaOrig="340" w14:anchorId="1F34FC7E">
          <v:shape id="_x0000_i1047" type="#_x0000_t75" style="width:54pt;height:17.4pt" o:ole="">
            <v:imagedata r:id="rId48" o:title=""/>
          </v:shape>
          <o:OLEObject Type="Embed" ProgID="Equation.3" ShapeID="_x0000_i1047" DrawAspect="Content" ObjectID="_1731747808" r:id="rId49"/>
        </w:object>
      </w:r>
      <w:r w:rsidR="00D255B3">
        <w:t xml:space="preserve">; </w:t>
      </w:r>
      <w:r w:rsidR="00D255B3">
        <w:sym w:font="Symbol" w:char="F06D"/>
      </w:r>
      <w:r w:rsidR="00D255B3">
        <w:t>=mobility=v/f</w:t>
      </w:r>
    </w:p>
    <w:p w14:paraId="3D071BA6" w14:textId="77777777" w:rsidR="003315B0" w:rsidRDefault="003315B0">
      <w:pPr>
        <w:pStyle w:val="Equationnote"/>
      </w:pPr>
      <w:r>
        <w:t>Rearranging this, we can get to:</w:t>
      </w:r>
    </w:p>
    <w:p w14:paraId="54BC90B6" w14:textId="77777777" w:rsidR="003315B0" w:rsidRDefault="00862860">
      <w:pPr>
        <w:pStyle w:val="Equations"/>
      </w:pPr>
      <w:r w:rsidRPr="00862860">
        <w:rPr>
          <w:position w:val="-30"/>
        </w:rPr>
        <w:object w:dxaOrig="2680" w:dyaOrig="680" w14:anchorId="4EC74105">
          <v:shape id="_x0000_i1048" type="#_x0000_t75" style="width:134.4pt;height:33.6pt" o:ole="">
            <v:imagedata r:id="rId50" o:title=""/>
          </v:shape>
          <o:OLEObject Type="Embed" ProgID="Equation.3" ShapeID="_x0000_i1048" DrawAspect="Content" ObjectID="_1731747809" r:id="rId51"/>
        </w:object>
      </w:r>
    </w:p>
    <w:p w14:paraId="6108750D" w14:textId="77777777" w:rsidR="003315B0" w:rsidRDefault="003315B0">
      <w:r>
        <w:lastRenderedPageBreak/>
        <w:t xml:space="preserve">This can be solved, using the boundary conditions: </w:t>
      </w:r>
      <w:proofErr w:type="gramStart"/>
      <w:r>
        <w:t>C(</w:t>
      </w:r>
      <w:proofErr w:type="gramEnd"/>
      <w:r>
        <w:t>0)=C</w:t>
      </w:r>
      <w:r>
        <w:rPr>
          <w:vertAlign w:val="subscript"/>
        </w:rPr>
        <w:t>i</w:t>
      </w:r>
      <w:r>
        <w:t xml:space="preserve"> and C(L)=C</w:t>
      </w:r>
      <w:r>
        <w:softHyphen/>
      </w:r>
      <w:r>
        <w:rPr>
          <w:vertAlign w:val="subscript"/>
        </w:rPr>
        <w:t>e</w:t>
      </w:r>
      <w:r>
        <w:t>)</w:t>
      </w:r>
    </w:p>
    <w:p w14:paraId="1C7F52E2" w14:textId="77777777" w:rsidR="003315B0" w:rsidRDefault="003315B0">
      <w:pPr>
        <w:pStyle w:val="Equations"/>
      </w:pPr>
      <w:r>
        <w:rPr>
          <w:position w:val="-68"/>
        </w:rPr>
        <w:object w:dxaOrig="3260" w:dyaOrig="1480" w14:anchorId="4D162F16">
          <v:shape id="_x0000_i1049" type="#_x0000_t75" style="width:163.2pt;height:73.8pt" o:ole="">
            <v:imagedata r:id="rId52" o:title=""/>
          </v:shape>
          <o:OLEObject Type="Embed" ProgID="Equation.3" ShapeID="_x0000_i1049" DrawAspect="Content" ObjectID="_1731747810" r:id="rId53"/>
        </w:object>
      </w:r>
    </w:p>
    <w:p w14:paraId="5B9B75CD" w14:textId="77777777" w:rsidR="003315B0" w:rsidRDefault="003315B0">
      <w:r>
        <w:t>Since j is in molar flux, to get current per area, multiply by charge per mole, q*</w:t>
      </w:r>
      <w:smartTag w:uri="urn:schemas-microsoft-com:office:smarttags" w:element="stockticker">
        <w:r>
          <w:t>N</w:t>
        </w:r>
        <w:r>
          <w:rPr>
            <w:vertAlign w:val="subscript"/>
          </w:rPr>
          <w:t>A</w:t>
        </w:r>
      </w:smartTag>
      <w:r>
        <w:t>.</w:t>
      </w:r>
    </w:p>
    <w:p w14:paraId="7603212C" w14:textId="77777777" w:rsidR="003315B0" w:rsidRDefault="003315B0">
      <w:pPr>
        <w:pStyle w:val="Equations"/>
      </w:pPr>
      <w:r>
        <w:rPr>
          <w:position w:val="-68"/>
        </w:rPr>
        <w:object w:dxaOrig="9340" w:dyaOrig="1480" w14:anchorId="671949C3">
          <v:shape id="_x0000_i1050" type="#_x0000_t75" style="width:466.8pt;height:73.8pt" o:ole="">
            <v:imagedata r:id="rId54" o:title=""/>
          </v:shape>
          <o:OLEObject Type="Embed" ProgID="Equation.3" ShapeID="_x0000_i1050" DrawAspect="Content" ObjectID="_1731747811" r:id="rId55"/>
        </w:object>
      </w:r>
      <w:r>
        <w:br w:type="textWrapping" w:clear="all"/>
      </w:r>
    </w:p>
    <w:p w14:paraId="711C7DCE" w14:textId="77777777" w:rsidR="003315B0" w:rsidRDefault="003315B0">
      <w:pPr>
        <w:pStyle w:val="Equations"/>
      </w:pPr>
      <w:r>
        <w:t>THIS IS THE GOLDMAN-HODGKIN-KATZ equation.</w:t>
      </w:r>
    </w:p>
    <w:p w14:paraId="6D134C88" w14:textId="77777777" w:rsidR="003315B0" w:rsidRDefault="003315B0">
      <w:pPr>
        <w:pStyle w:val="Equations"/>
      </w:pPr>
      <w:r>
        <w:t>How does this behave?</w:t>
      </w:r>
    </w:p>
    <w:p w14:paraId="186BF19F" w14:textId="77777777" w:rsidR="003315B0" w:rsidRDefault="002D5362">
      <w:pPr>
        <w:pStyle w:val="LectureNotesNormal"/>
        <w:numPr>
          <w:ilvl w:val="0"/>
          <w:numId w:val="23"/>
        </w:numPr>
      </w:pPr>
      <w:r>
        <w:rPr>
          <w:noProof/>
        </w:rPr>
        <w:drawing>
          <wp:anchor distT="0" distB="0" distL="114300" distR="114300" simplePos="0" relativeHeight="251657728" behindDoc="0" locked="0" layoutInCell="1" allowOverlap="1" wp14:anchorId="502FB7D3" wp14:editId="51ABE867">
            <wp:simplePos x="0" y="0"/>
            <wp:positionH relativeFrom="column">
              <wp:posOffset>0</wp:posOffset>
            </wp:positionH>
            <wp:positionV relativeFrom="paragraph">
              <wp:posOffset>0</wp:posOffset>
            </wp:positionV>
            <wp:extent cx="5485765" cy="2449195"/>
            <wp:effectExtent l="0" t="0" r="635" b="825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485765" cy="2449195"/>
                    </a:xfrm>
                    <a:prstGeom prst="rect">
                      <a:avLst/>
                    </a:prstGeom>
                    <a:noFill/>
                    <a:ln>
                      <a:noFill/>
                    </a:ln>
                  </pic:spPr>
                </pic:pic>
              </a:graphicData>
            </a:graphic>
            <wp14:sizeRelH relativeFrom="page">
              <wp14:pctWidth>0</wp14:pctWidth>
            </wp14:sizeRelH>
            <wp14:sizeRelV relativeFrom="page">
              <wp14:pctHeight>0</wp14:pctHeight>
            </wp14:sizeRelV>
          </wp:anchor>
        </w:drawing>
      </w:r>
      <w:r w:rsidR="003315B0">
        <w:t>Starting with K</w:t>
      </w:r>
      <w:r w:rsidR="003315B0">
        <w:rPr>
          <w:vertAlign w:val="superscript"/>
        </w:rPr>
        <w:t>+</w:t>
      </w:r>
      <w:r w:rsidR="003315B0">
        <w:t>. Recall that in our system, voltage started at zero, and got more negative as K</w:t>
      </w:r>
      <w:r w:rsidR="003315B0">
        <w:rPr>
          <w:vertAlign w:val="superscript"/>
        </w:rPr>
        <w:t>+</w:t>
      </w:r>
      <w:r w:rsidR="003315B0">
        <w:t xml:space="preserve"> flowed out. For membrane voltages above </w:t>
      </w:r>
      <w:proofErr w:type="spellStart"/>
      <w:r w:rsidR="003315B0">
        <w:t>V</w:t>
      </w:r>
      <w:r w:rsidR="003315B0">
        <w:rPr>
          <w:vertAlign w:val="subscript"/>
        </w:rPr>
        <w:t>K</w:t>
      </w:r>
      <w:r w:rsidR="003315B0">
        <w:rPr>
          <w:vertAlign w:val="superscript"/>
        </w:rPr>
        <w:t>Nernst</w:t>
      </w:r>
      <w:proofErr w:type="spellEnd"/>
      <w:r w:rsidR="003315B0">
        <w:t>, chemical and electrical forces work in the same direction, current versus voltage is somewhat linear and approaches a line that passes through zero.</w:t>
      </w:r>
    </w:p>
    <w:p w14:paraId="0021301D" w14:textId="77777777" w:rsidR="003315B0" w:rsidRDefault="003315B0">
      <w:pPr>
        <w:pStyle w:val="LectureNotesNormal"/>
        <w:numPr>
          <w:ilvl w:val="0"/>
          <w:numId w:val="23"/>
        </w:numPr>
      </w:pPr>
      <w:r>
        <w:t>For our situation, as the membrane voltage became more negative than the Nernst potential, now electrical and chemical forces counteract, imparting a deviation from the linear line. Note that at a certain voltage, the Nernst potential, flux is zero.</w:t>
      </w:r>
    </w:p>
    <w:p w14:paraId="143F89BA" w14:textId="77777777" w:rsidR="003315B0" w:rsidRDefault="003315B0">
      <w:pPr>
        <w:pStyle w:val="LectureNotesNormal"/>
        <w:numPr>
          <w:ilvl w:val="0"/>
          <w:numId w:val="23"/>
        </w:numPr>
      </w:pPr>
      <w:r>
        <w:t>Similarly for sodium, when chemical and electric forces are in the same direction, approaches linear correlation. Deviations when electric and chemical forces oppose.</w:t>
      </w:r>
    </w:p>
    <w:p w14:paraId="64935918" w14:textId="77777777" w:rsidR="003315B0" w:rsidRDefault="003315B0">
      <w:pPr>
        <w:pStyle w:val="LectureNotesNormal"/>
        <w:numPr>
          <w:ilvl w:val="0"/>
          <w:numId w:val="23"/>
        </w:numPr>
      </w:pPr>
      <w:r>
        <w:t>This solution assumes a homogenous slab, independent diffusion, uniform electric field. Thus, this good for simple diffusion as presented. You can imagine migrating this to the case with a more structured diffusion, as we ended up with for the porous membrane.</w:t>
      </w:r>
    </w:p>
    <w:p w14:paraId="03CDE298" w14:textId="77777777" w:rsidR="003315B0" w:rsidRDefault="003315B0">
      <w:pPr>
        <w:pStyle w:val="Equationnote"/>
      </w:pPr>
    </w:p>
    <w:sectPr w:rsidR="003315B0">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3D5"/>
    <w:multiLevelType w:val="hybridMultilevel"/>
    <w:tmpl w:val="6B506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770488"/>
    <w:multiLevelType w:val="hybridMultilevel"/>
    <w:tmpl w:val="ECAC1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E179E"/>
    <w:multiLevelType w:val="hybridMultilevel"/>
    <w:tmpl w:val="6ED45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813A4"/>
    <w:multiLevelType w:val="hybridMultilevel"/>
    <w:tmpl w:val="64989C8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EAF10AF"/>
    <w:multiLevelType w:val="hybridMultilevel"/>
    <w:tmpl w:val="6F2AFBA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17B4054"/>
    <w:multiLevelType w:val="hybridMultilevel"/>
    <w:tmpl w:val="14846E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980918"/>
    <w:multiLevelType w:val="hybridMultilevel"/>
    <w:tmpl w:val="06DCA0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CB2746"/>
    <w:multiLevelType w:val="hybridMultilevel"/>
    <w:tmpl w:val="B030BB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CD5EA4"/>
    <w:multiLevelType w:val="hybridMultilevel"/>
    <w:tmpl w:val="F64ECA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A5F41FF"/>
    <w:multiLevelType w:val="hybridMultilevel"/>
    <w:tmpl w:val="2ED40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551758"/>
    <w:multiLevelType w:val="hybridMultilevel"/>
    <w:tmpl w:val="8F50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916897"/>
    <w:multiLevelType w:val="hybridMultilevel"/>
    <w:tmpl w:val="8B362E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09A537E"/>
    <w:multiLevelType w:val="hybridMultilevel"/>
    <w:tmpl w:val="BD144D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27970"/>
    <w:multiLevelType w:val="hybridMultilevel"/>
    <w:tmpl w:val="3D2414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933312"/>
    <w:multiLevelType w:val="hybridMultilevel"/>
    <w:tmpl w:val="E2184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3B1D85"/>
    <w:multiLevelType w:val="hybridMultilevel"/>
    <w:tmpl w:val="69D6CD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3868AE"/>
    <w:multiLevelType w:val="hybridMultilevel"/>
    <w:tmpl w:val="3FB46428"/>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4E991B28"/>
    <w:multiLevelType w:val="hybridMultilevel"/>
    <w:tmpl w:val="EF16BE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D14DC9"/>
    <w:multiLevelType w:val="hybridMultilevel"/>
    <w:tmpl w:val="A3DE18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CD40664"/>
    <w:multiLevelType w:val="hybridMultilevel"/>
    <w:tmpl w:val="90C0BBE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CAF414B"/>
    <w:multiLevelType w:val="hybridMultilevel"/>
    <w:tmpl w:val="558684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342461"/>
    <w:multiLevelType w:val="hybridMultilevel"/>
    <w:tmpl w:val="99CA52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FD97CB3"/>
    <w:multiLevelType w:val="hybridMultilevel"/>
    <w:tmpl w:val="67661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99002695">
    <w:abstractNumId w:val="1"/>
  </w:num>
  <w:num w:numId="2" w16cid:durableId="337316791">
    <w:abstractNumId w:val="21"/>
  </w:num>
  <w:num w:numId="3" w16cid:durableId="1478375071">
    <w:abstractNumId w:val="0"/>
  </w:num>
  <w:num w:numId="4" w16cid:durableId="259338727">
    <w:abstractNumId w:val="3"/>
  </w:num>
  <w:num w:numId="5" w16cid:durableId="1707410655">
    <w:abstractNumId w:val="10"/>
  </w:num>
  <w:num w:numId="6" w16cid:durableId="852190796">
    <w:abstractNumId w:val="18"/>
  </w:num>
  <w:num w:numId="7" w16cid:durableId="1344622488">
    <w:abstractNumId w:val="16"/>
  </w:num>
  <w:num w:numId="8" w16cid:durableId="1000548166">
    <w:abstractNumId w:val="5"/>
  </w:num>
  <w:num w:numId="9" w16cid:durableId="1092971787">
    <w:abstractNumId w:val="14"/>
  </w:num>
  <w:num w:numId="10" w16cid:durableId="1242833869">
    <w:abstractNumId w:val="20"/>
  </w:num>
  <w:num w:numId="11" w16cid:durableId="290135786">
    <w:abstractNumId w:val="6"/>
  </w:num>
  <w:num w:numId="12" w16cid:durableId="1475561522">
    <w:abstractNumId w:val="13"/>
  </w:num>
  <w:num w:numId="13" w16cid:durableId="137458686">
    <w:abstractNumId w:val="2"/>
  </w:num>
  <w:num w:numId="14" w16cid:durableId="297958958">
    <w:abstractNumId w:val="12"/>
  </w:num>
  <w:num w:numId="15" w16cid:durableId="323901394">
    <w:abstractNumId w:val="17"/>
  </w:num>
  <w:num w:numId="16" w16cid:durableId="1641305533">
    <w:abstractNumId w:val="9"/>
  </w:num>
  <w:num w:numId="17" w16cid:durableId="873155538">
    <w:abstractNumId w:val="19"/>
  </w:num>
  <w:num w:numId="18" w16cid:durableId="1379209806">
    <w:abstractNumId w:val="8"/>
  </w:num>
  <w:num w:numId="19" w16cid:durableId="416829161">
    <w:abstractNumId w:val="15"/>
  </w:num>
  <w:num w:numId="20" w16cid:durableId="460542096">
    <w:abstractNumId w:val="11"/>
  </w:num>
  <w:num w:numId="21" w16cid:durableId="1261066260">
    <w:abstractNumId w:val="22"/>
  </w:num>
  <w:num w:numId="22" w16cid:durableId="2069069694">
    <w:abstractNumId w:val="4"/>
  </w:num>
  <w:num w:numId="23" w16cid:durableId="10356929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4FEF"/>
    <w:rsid w:val="00090B8C"/>
    <w:rsid w:val="002D5362"/>
    <w:rsid w:val="003315B0"/>
    <w:rsid w:val="00515948"/>
    <w:rsid w:val="006025F6"/>
    <w:rsid w:val="0070666E"/>
    <w:rsid w:val="0078569F"/>
    <w:rsid w:val="007A7CF1"/>
    <w:rsid w:val="00862860"/>
    <w:rsid w:val="00886767"/>
    <w:rsid w:val="008F1D84"/>
    <w:rsid w:val="00A14FEF"/>
    <w:rsid w:val="00A535D9"/>
    <w:rsid w:val="00B67863"/>
    <w:rsid w:val="00B81DB2"/>
    <w:rsid w:val="00B93894"/>
    <w:rsid w:val="00CB4D29"/>
    <w:rsid w:val="00D042EE"/>
    <w:rsid w:val="00D255B3"/>
    <w:rsid w:val="00F21260"/>
    <w:rsid w:val="00FF3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fill="f" fillcolor="white" stroke="f">
      <v:fill color="white" on="f"/>
      <v:stroke on="f"/>
    </o:shapedefaults>
    <o:shapelayout v:ext="edit">
      <o:idmap v:ext="edit" data="1"/>
    </o:shapelayout>
  </w:shapeDefaults>
  <w:decimalSymbol w:val="."/>
  <w:listSeparator w:val=","/>
  <w14:docId w14:val="48E788FC"/>
  <w15:docId w15:val="{277ACFA5-0B8F-4D22-9230-1DFFBA027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60"/>
    </w:pPr>
    <w:rPr>
      <w:sz w:val="24"/>
      <w:szCs w:val="24"/>
    </w:rPr>
  </w:style>
  <w:style w:type="paragraph" w:styleId="Heading1">
    <w:name w:val="heading 1"/>
    <w:basedOn w:val="Normal"/>
    <w:next w:val="Normal"/>
    <w:qFormat/>
    <w:pPr>
      <w:keepNext/>
      <w:spacing w:before="240"/>
      <w:outlineLvl w:val="0"/>
    </w:pPr>
    <w:rPr>
      <w:rFonts w:ascii="Arial" w:hAnsi="Arial" w:cs="Arial"/>
      <w:b/>
      <w:bCs/>
      <w:kern w:val="32"/>
      <w:sz w:val="32"/>
      <w:szCs w:val="32"/>
    </w:rPr>
  </w:style>
  <w:style w:type="paragraph" w:styleId="Heading2">
    <w:name w:val="heading 2"/>
    <w:basedOn w:val="Normal"/>
    <w:next w:val="Normal"/>
    <w:qFormat/>
    <w:pPr>
      <w:keepNext/>
      <w:spacing w:before="240"/>
      <w:outlineLvl w:val="1"/>
    </w:pPr>
    <w:rPr>
      <w:rFonts w:ascii="Arial" w:hAnsi="Arial" w:cs="Arial"/>
      <w:b/>
      <w:bCs/>
      <w:i/>
      <w:iCs/>
      <w:sz w:val="28"/>
      <w:szCs w:val="28"/>
    </w:rPr>
  </w:style>
  <w:style w:type="paragraph" w:styleId="Heading3">
    <w:name w:val="heading 3"/>
    <w:basedOn w:val="Normal"/>
    <w:next w:val="Normal"/>
    <w:qFormat/>
    <w:pPr>
      <w:keepNext/>
      <w:spacing w:before="240"/>
      <w:outlineLvl w:val="2"/>
    </w:pPr>
    <w:rPr>
      <w:rFonts w:ascii="Arial" w:hAnsi="Arial" w:cs="Arial"/>
      <w:b/>
      <w:bCs/>
      <w:sz w:val="26"/>
      <w:szCs w:val="26"/>
    </w:rPr>
  </w:style>
  <w:style w:type="paragraph" w:styleId="Heading4">
    <w:name w:val="heading 4"/>
    <w:basedOn w:val="Normal"/>
    <w:next w:val="Normal"/>
    <w:qFormat/>
    <w:pPr>
      <w:keepNext/>
      <w:outlineLvl w:val="3"/>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ctureNotesNormal">
    <w:name w:val="Lecture Notes Normal"/>
    <w:basedOn w:val="Normal"/>
    <w:pPr>
      <w:ind w:left="360" w:hanging="360"/>
    </w:pPr>
  </w:style>
  <w:style w:type="paragraph" w:customStyle="1" w:styleId="Equations">
    <w:name w:val="Equations"/>
    <w:basedOn w:val="Normal"/>
    <w:pPr>
      <w:spacing w:after="0"/>
      <w:jc w:val="center"/>
    </w:pPr>
  </w:style>
  <w:style w:type="paragraph" w:customStyle="1" w:styleId="Equationnote">
    <w:name w:val="Equation note"/>
    <w:basedOn w:val="Normal"/>
    <w:pPr>
      <w:spacing w:after="0"/>
      <w:ind w:left="1080"/>
    </w:pPr>
  </w:style>
  <w:style w:type="paragraph" w:styleId="BodyTextIndent">
    <w:name w:val="Body Text Indent"/>
    <w:basedOn w:val="Normal"/>
    <w:pPr>
      <w:ind w:left="1440" w:hanging="720"/>
    </w:pPr>
  </w:style>
  <w:style w:type="paragraph" w:styleId="Title">
    <w:name w:val="Title"/>
    <w:basedOn w:val="Normal"/>
    <w:qFormat/>
    <w:pPr>
      <w:jc w:val="center"/>
    </w:pPr>
    <w:rPr>
      <w:b/>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image" Target="media/image20.wmf"/><Relationship Id="rId21" Type="http://schemas.openxmlformats.org/officeDocument/2006/relationships/oleObject" Target="embeddings/oleObject7.bin"/><Relationship Id="rId34" Type="http://schemas.openxmlformats.org/officeDocument/2006/relationships/image" Target="media/image17.wmf"/><Relationship Id="rId42" Type="http://schemas.openxmlformats.org/officeDocument/2006/relationships/image" Target="media/image21.wmf"/><Relationship Id="rId47" Type="http://schemas.openxmlformats.org/officeDocument/2006/relationships/oleObject" Target="embeddings/oleObject20.bin"/><Relationship Id="rId50" Type="http://schemas.openxmlformats.org/officeDocument/2006/relationships/image" Target="media/image25.wmf"/><Relationship Id="rId55" Type="http://schemas.openxmlformats.org/officeDocument/2006/relationships/oleObject" Target="embeddings/oleObject24.bin"/><Relationship Id="rId7" Type="http://schemas.openxmlformats.org/officeDocument/2006/relationships/image" Target="media/image3.png"/><Relationship Id="rId12" Type="http://schemas.openxmlformats.org/officeDocument/2006/relationships/image" Target="media/image6.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5.bin"/><Relationship Id="rId46" Type="http://schemas.openxmlformats.org/officeDocument/2006/relationships/image" Target="media/image23.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oleObject" Target="embeddings/oleObject11.bin"/><Relationship Id="rId41" Type="http://schemas.openxmlformats.org/officeDocument/2006/relationships/oleObject" Target="embeddings/oleObject17.bin"/><Relationship Id="rId54" Type="http://schemas.openxmlformats.org/officeDocument/2006/relationships/image" Target="media/image27.w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2.bin"/><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image" Target="media/image19.wmf"/><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4.wmf"/><Relationship Id="rId36" Type="http://schemas.openxmlformats.org/officeDocument/2006/relationships/oleObject" Target="embeddings/oleObject14.bin"/><Relationship Id="rId49" Type="http://schemas.openxmlformats.org/officeDocument/2006/relationships/oleObject" Target="embeddings/oleObject21.bin"/><Relationship Id="rId57" Type="http://schemas.openxmlformats.org/officeDocument/2006/relationships/fontTable" Target="fontTable.xml"/><Relationship Id="rId10" Type="http://schemas.openxmlformats.org/officeDocument/2006/relationships/image" Target="media/image5.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2.wmf"/><Relationship Id="rId52" Type="http://schemas.openxmlformats.org/officeDocument/2006/relationships/image" Target="media/image26.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10.bin"/><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oleObject" Target="embeddings/oleObject18.bin"/><Relationship Id="rId48" Type="http://schemas.openxmlformats.org/officeDocument/2006/relationships/image" Target="media/image24.wmf"/><Relationship Id="rId56" Type="http://schemas.openxmlformats.org/officeDocument/2006/relationships/image" Target="media/image28.png"/><Relationship Id="rId8" Type="http://schemas.openxmlformats.org/officeDocument/2006/relationships/image" Target="media/image4.wmf"/><Relationship Id="rId51" Type="http://schemas.openxmlformats.org/officeDocument/2006/relationships/oleObject" Target="embeddings/oleObject22.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1157</Words>
  <Characters>6598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BMEN E4001x: Quantitative Physiology I / Molecular and Cellular Systems</vt:lpstr>
    </vt:vector>
  </TitlesOfParts>
  <Company>Columbia University</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BMEN E4001x: Quantitative Physiology I / Molecular and Cellular Systems</dc:title>
  <dc:creator>Lance Kam</dc:creator>
  <cp:lastModifiedBy>Lance Kam</cp:lastModifiedBy>
  <cp:revision>3</cp:revision>
  <cp:lastPrinted>2005-11-09T12:39:00Z</cp:lastPrinted>
  <dcterms:created xsi:type="dcterms:W3CDTF">2016-10-27T15:08:00Z</dcterms:created>
  <dcterms:modified xsi:type="dcterms:W3CDTF">2022-12-05T17:16:00Z</dcterms:modified>
</cp:coreProperties>
</file>